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9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0"/>
          <w:szCs w:val="40"/>
          <w:b w:val="1"/>
          <w:bCs w:val="1"/>
          <w:color w:val="auto"/>
        </w:rPr>
        <w:t>Lear Corporation</w:t>
      </w:r>
    </w:p>
    <w:p>
      <w:pPr>
        <w:spacing w:after="0" w:line="4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4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360"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282"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-3532505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-3086100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-2503170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-2057400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-1611630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309245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26" w:right="479" w:bottom="212" w:gutter="0" w:footer="0" w:header="0"/>
        </w:sectPr>
      </w:pPr>
    </w:p>
    <w:bookmarkStart w:id="1" w:name="page2"/>
    <w:bookmarkEnd w:id="1"/>
    <w:p>
      <w:pPr>
        <w:ind w:left="920" w:hanging="43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-144780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309245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208280</wp:posOffset>
            </wp:positionV>
            <wp:extent cx="162052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21557 Telegraph Road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Southfield, Michigan 48033</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31, 2016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On behalf of the Board of Directors of Lear Corporation, you are cordially invited to attend the 2016 Annual Meeting of Stockholders (the “Annual Meeting”) to be held on May 19, 2016, at 9:00 a.m. (Eastern Time) at Lear Corporation’s Corporate Headquarters, 21557 Telegraph Road, Southfield, Michigan 48033.</w:t>
      </w:r>
    </w:p>
    <w:p>
      <w:pPr>
        <w:spacing w:after="0" w:line="5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have included in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w:t>
      </w:r>
    </w:p>
    <w:p>
      <w:pPr>
        <w:spacing w:after="0" w:line="51"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lowers the cost and environmental impact of our Annual Meeting. On or about April 4, 2016, we will mail to our stockholders a notice containing instructions on how to access our proxy materials. In addition, the notice includes instructions on how you can receive a paper copy of our proxy materials.</w:t>
      </w:r>
    </w:p>
    <w:p>
      <w:pPr>
        <w:spacing w:after="0" w:line="55"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and to transact any other business properly brought before the meeting.</w:t>
      </w:r>
    </w:p>
    <w:p>
      <w:pPr>
        <w:spacing w:after="0" w:line="5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your vote is important, and we encourage you to vote promptly. You may vote your shares through one of the methods described in the enclosed proxy statement. </w:t>
      </w:r>
      <w:r>
        <w:rPr>
          <w:rFonts w:ascii="Times New Roman" w:cs="Times New Roman" w:eastAsia="Times New Roman" w:hAnsi="Times New Roman"/>
          <w:sz w:val="18"/>
          <w:szCs w:val="18"/>
          <w:b w:val="1"/>
          <w:bCs w:val="1"/>
          <w:color w:val="auto"/>
        </w:rPr>
        <w:t>We strongly urge you to read the accompanying proxy statement carefully and to vote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nominees proposed by the Board of Directors and in accordance with the recommendations of the Board of Directors on the other proposals by following the voting instructions contained in the proxy statement.</w:t>
      </w:r>
    </w:p>
    <w:p>
      <w:pPr>
        <w:spacing w:after="0" w:line="2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100965</wp:posOffset>
            </wp:positionV>
            <wp:extent cx="119189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43751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118110</wp:posOffset>
            </wp:positionV>
            <wp:extent cx="1431925"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42037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Henry D.G. Wallace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Matthew J. Simoncini</w:t>
      </w:r>
    </w:p>
    <w:p>
      <w:pPr>
        <w:spacing w:after="0" w:line="138" w:lineRule="exact"/>
        <w:rPr>
          <w:sz w:val="20"/>
          <w:szCs w:val="20"/>
          <w:color w:val="auto"/>
        </w:rPr>
      </w:pPr>
    </w:p>
    <w:p>
      <w:pPr>
        <w:sectPr>
          <w:pgSz w:w="11900" w:h="16838" w:orient="portrait"/>
          <w:cols w:equalWidth="0" w:num="2">
            <w:col w:w="5180" w:space="720"/>
            <w:col w:w="5520"/>
          </w:cols>
          <w:pgMar w:left="240" w:top="455" w:right="2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President, Chief Executive Officer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Director</w:t>
      </w:r>
    </w:p>
    <w:p>
      <w:pPr>
        <w:spacing w:after="0" w:line="159" w:lineRule="exact"/>
        <w:rPr>
          <w:sz w:val="20"/>
          <w:szCs w:val="20"/>
          <w:color w:val="auto"/>
        </w:rPr>
      </w:pPr>
    </w:p>
    <w:p>
      <w:pPr>
        <w:sectPr>
          <w:pgSz w:w="11900" w:h="16838" w:orient="portrait"/>
          <w:cols w:equalWidth="0" w:num="2">
            <w:col w:w="5180" w:space="720"/>
            <w:col w:w="5520"/>
          </w:cols>
          <w:pgMar w:left="240" w:top="455"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This proxy statement is dated March 31, 2016 and is first being made available to stockholders via the Internet on or about April 4, 2016.</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LEAR CORPORATION</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MAY 19, 2016</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55880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Lear Corporation: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2016 Annual Meeting of Stockholders will be held on May 19, 2016, at 9:00 a.m. (Eastern Time) at Lear Corporation’s corporate headquarters, 21557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Telegraph Road, Southfield, Michigan 48033. The purpose of the meeting is to:</w:t>
      </w:r>
    </w:p>
    <w:p>
      <w:pPr>
        <w:spacing w:after="0" w:line="78" w:lineRule="exact"/>
        <w:rPr>
          <w:sz w:val="20"/>
          <w:szCs w:val="20"/>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ten directors;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retention of Ernst &amp; Young LLP as our independent registered public accounting firm for 2016;</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advisory vote to approve our executive compensation;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other business properly brought before the Annual Meeting or any adjournments or postponements thereof.</w:t>
      </w:r>
    </w:p>
    <w:p>
      <w:pPr>
        <w:spacing w:after="0" w:line="171" w:lineRule="exact"/>
        <w:rPr>
          <w:sz w:val="20"/>
          <w:szCs w:val="20"/>
          <w:color w:val="auto"/>
        </w:rPr>
      </w:pPr>
    </w:p>
    <w:p>
      <w:pPr>
        <w:ind w:right="480" w:firstLine="456"/>
        <w:spacing w:after="0" w:line="310" w:lineRule="auto"/>
        <w:rPr>
          <w:sz w:val="20"/>
          <w:szCs w:val="20"/>
          <w:color w:val="auto"/>
        </w:rPr>
      </w:pPr>
      <w:r>
        <w:rPr>
          <w:rFonts w:ascii="Times New Roman" w:cs="Times New Roman" w:eastAsia="Times New Roman" w:hAnsi="Times New Roman"/>
          <w:sz w:val="16"/>
          <w:szCs w:val="16"/>
          <w:color w:val="auto"/>
        </w:rPr>
        <w:t>Voting is limited to stockholders of record at the close of business on March 24, 2016. A list of stockholders entitled to vote at the meeting, and any postponements or adjournments of the meeting, will be available for examination between the hours of 9:00 a.m. and 5:00 p.m. (Eastern Time) at our headquarters at 21557 Telegraph Road, Southfield, Michigan 48033 during the ten days prior to the Annual Meeting and also at the Annual Meeting.</w:t>
      </w:r>
    </w:p>
    <w:p>
      <w:pPr>
        <w:spacing w:after="0" w:line="95"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PLEASE VOTE YOUR SHARES OVER THE TELEPHONE, VIA THE INTERNET OR BY COMPLETING, DATING, SIGNING AND RETURNING A PROXY CARD, AS DESCRIBED IN THE ENCLOSED PROXY STATEMENT. YOUR PROMPT COOPERATION IS GREATLY APPRECIATED.</w:t>
      </w:r>
    </w:p>
    <w:p>
      <w:pPr>
        <w:spacing w:after="0" w:line="17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126365</wp:posOffset>
            </wp:positionV>
            <wp:extent cx="178371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7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Terrence B. Larkin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Executive Vice President, Business Development,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General Counsel and Corporate Secretary</w:t>
      </w:r>
    </w:p>
    <w:p>
      <w:pPr>
        <w:sectPr>
          <w:pgSz w:w="11900" w:h="16838" w:orient="portrait"/>
          <w:cols w:equalWidth="0" w:num="1">
            <w:col w:w="11320"/>
          </w:cols>
          <w:pgMar w:left="240" w:top="455"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Electronic Availability of Proxy Statement and Annual Report</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permitted by rules adopted by the United States Securities and Exchange Commission (the “SEC”), we are making this proxy statement and our annual report available to stockholders electronically via the Internet. On or about April 4, 2016, we will mail to most of our stockholders a notice (the “Notice”) containing instructions on how to access this proxy statement and our annual report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April 4, 2016.</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Notice also contains instructions on how to request a printed copy of the proxy materials. In addition, you may elect to receive future proxy materials in printed form by mail or electronically by e-mail by following the instructions included in the Notice. If you have previously elected to receive our proxy materials electronically, you will continue to receive these materials via e-mail unless you elect otherwise.</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20" w:type="dxa"/>
            <w:vAlign w:val="bottom"/>
            <w:gridSpan w:val="7"/>
          </w:tcPr>
          <w:p>
            <w:pPr>
              <w:ind w:left="1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180" w:type="dxa"/>
            <w:vAlign w:val="bottom"/>
            <w:gridSpan w:val="5"/>
            <w:vMerge w:val="restart"/>
          </w:tcPr>
          <w:p>
            <w:pPr>
              <w:spacing w:after="0"/>
              <w:rPr>
                <w:rFonts w:ascii="Times New Roman" w:cs="Times New Roman" w:eastAsia="Times New Roman" w:hAnsi="Times New Roman"/>
                <w:sz w:val="18"/>
                <w:szCs w:val="18"/>
                <w:color w:val="0000EE"/>
                <w:w w:val="96"/>
              </w:rPr>
            </w:pPr>
            <w:hyperlink w:anchor="page7">
              <w:r>
                <w:rPr>
                  <w:rFonts w:ascii="Times New Roman" w:cs="Times New Roman" w:eastAsia="Times New Roman" w:hAnsi="Times New Roman"/>
                  <w:sz w:val="18"/>
                  <w:szCs w:val="18"/>
                  <w:color w:val="0000EE"/>
                  <w:w w:val="96"/>
                </w:rPr>
                <w:t>SUMMARY OF THE ANNUAL MEETING</w:t>
              </w:r>
            </w:hyperlink>
          </w:p>
        </w:tc>
        <w:tc>
          <w:tcPr>
            <w:tcW w:w="7800" w:type="dxa"/>
            <w:vAlign w:val="bottom"/>
            <w:gridSpan w:val="11"/>
            <w:vMerge w:val="restart"/>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180" w:type="dxa"/>
            <w:vAlign w:val="bottom"/>
            <w:tcBorders>
              <w:bottom w:val="single" w:sz="8" w:color="0000EE"/>
            </w:tcBorders>
            <w:gridSpan w:val="5"/>
            <w:vMerge w:val="continue"/>
          </w:tcPr>
          <w:p>
            <w:pPr>
              <w:spacing w:after="0"/>
              <w:rPr>
                <w:sz w:val="13"/>
                <w:szCs w:val="13"/>
                <w:color w:val="auto"/>
              </w:rPr>
            </w:pPr>
          </w:p>
        </w:tc>
        <w:tc>
          <w:tcPr>
            <w:tcW w:w="7800" w:type="dxa"/>
            <w:vAlign w:val="bottom"/>
            <w:gridSpan w:val="11"/>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10980" w:type="dxa"/>
            <w:vAlign w:val="bottom"/>
            <w:gridSpan w:val="16"/>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ELECTION OF DIRECTORS (PROPOSAL NO. 1)</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6"/>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DIRECTORS AND CORPORATE GOVERNANCE</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6"/>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COMPENSATION DISCUSSION AND ANALYSIS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EXECUTIVE COMPENSATION</w:t>
              </w:r>
            </w:hyperlink>
          </w:p>
        </w:tc>
        <w:tc>
          <w:tcPr>
            <w:tcW w:w="1360" w:type="dxa"/>
            <w:vAlign w:val="bottom"/>
            <w:tcBorders>
              <w:top w:val="single" w:sz="8" w:color="0000EE"/>
            </w:tcBorders>
            <w:gridSpan w:val="6"/>
          </w:tcPr>
          <w:p>
            <w:pPr>
              <w:spacing w:after="0"/>
              <w:rPr>
                <w:sz w:val="17"/>
                <w:szCs w:val="17"/>
                <w:color w:val="auto"/>
              </w:rPr>
            </w:pPr>
          </w:p>
        </w:tc>
        <w:tc>
          <w:tcPr>
            <w:tcW w:w="722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6"/>
              </w:rPr>
            </w:pPr>
            <w:hyperlink w:anchor="page63">
              <w:r>
                <w:rPr>
                  <w:rFonts w:ascii="Times New Roman" w:cs="Times New Roman" w:eastAsia="Times New Roman" w:hAnsi="Times New Roman"/>
                  <w:sz w:val="18"/>
                  <w:szCs w:val="18"/>
                  <w:color w:val="0000EE"/>
                  <w:w w:val="96"/>
                </w:rPr>
                <w:t>COMPENSATION COMMITTEE INTERLOCKS AND INSIDER PARTICIPATION</w:t>
              </w:r>
            </w:hyperlink>
          </w:p>
        </w:tc>
        <w:tc>
          <w:tcPr>
            <w:tcW w:w="492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64">
              <w:r>
                <w:rPr>
                  <w:rFonts w:ascii="Times New Roman" w:cs="Times New Roman" w:eastAsia="Times New Roman" w:hAnsi="Times New Roman"/>
                  <w:sz w:val="18"/>
                  <w:szCs w:val="18"/>
                  <w:color w:val="0000EE"/>
                  <w:w w:val="96"/>
                </w:rPr>
                <w:t>COMPENSATION COMMITTEE REPORT</w:t>
              </w:r>
            </w:hyperlink>
          </w:p>
        </w:tc>
        <w:tc>
          <w:tcPr>
            <w:tcW w:w="782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0980" w:type="dxa"/>
            <w:vAlign w:val="bottom"/>
            <w:gridSpan w:val="16"/>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AUDIT COMMITTEE REPORT</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6"/>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FEES OF INDEPENDENT ACCOUNTANTS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6"/>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CERTAIN RELATIONSHIPS AND RELATED PARTY TRANSACTIONS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3900" w:type="dxa"/>
            <w:vAlign w:val="bottom"/>
            <w:gridSpan w:val="9"/>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69">
              <w:r>
                <w:rPr>
                  <w:rFonts w:ascii="Times New Roman" w:cs="Times New Roman" w:eastAsia="Times New Roman" w:hAnsi="Times New Roman"/>
                  <w:sz w:val="18"/>
                  <w:szCs w:val="18"/>
                  <w:color w:val="0000EE"/>
                  <w:w w:val="96"/>
                </w:rPr>
                <w:t>RATIFICATION OF RETENTION OF INDEPENDENT REGISTERED PUBLIC ACCOUNTING FIRM (PROPOSAL NO. 2)</w:t>
              </w:r>
            </w:hyperlink>
          </w:p>
        </w:tc>
        <w:tc>
          <w:tcPr>
            <w:tcW w:w="196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9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6"/>
              </w:rPr>
            </w:pPr>
            <w:hyperlink w:anchor="page70">
              <w:r>
                <w:rPr>
                  <w:rFonts w:ascii="Times New Roman" w:cs="Times New Roman" w:eastAsia="Times New Roman" w:hAnsi="Times New Roman"/>
                  <w:sz w:val="18"/>
                  <w:szCs w:val="18"/>
                  <w:color w:val="0000EE"/>
                  <w:w w:val="96"/>
                </w:rPr>
                <w:t>ADVISORY VOTE TO APPROVE EXECUTIVE COMPENSATION SET FORTH IN THIS PROXY STATEMENT (PROPOSAL NO. 3)</w:t>
              </w:r>
            </w:hyperlink>
          </w:p>
        </w:tc>
        <w:tc>
          <w:tcPr>
            <w:tcW w:w="1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980" w:type="dxa"/>
            <w:vAlign w:val="bottom"/>
            <w:gridSpan w:val="16"/>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STOCKHOLDER PROPOSALS FOR 2017 ANNUAL MEETING OF STOCKHOLDERS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71">
              <w:r>
                <w:rPr>
                  <w:rFonts w:ascii="Times New Roman" w:cs="Times New Roman" w:eastAsia="Times New Roman" w:hAnsi="Times New Roman"/>
                  <w:sz w:val="18"/>
                  <w:szCs w:val="18"/>
                  <w:color w:val="0000EE"/>
                  <w:w w:val="95"/>
                </w:rPr>
                <w:t>OTHER MATTERS</w:t>
              </w:r>
            </w:hyperlink>
          </w:p>
        </w:tc>
        <w:tc>
          <w:tcPr>
            <w:tcW w:w="4980" w:type="dxa"/>
            <w:vAlign w:val="bottom"/>
            <w:tcBorders>
              <w:top w:val="single" w:sz="8" w:color="0000EE"/>
            </w:tcBorders>
            <w:gridSpan w:val="12"/>
          </w:tcPr>
          <w:p>
            <w:pPr>
              <w:spacing w:after="0"/>
              <w:rPr>
                <w:sz w:val="17"/>
                <w:szCs w:val="17"/>
                <w:color w:val="auto"/>
              </w:rPr>
            </w:pPr>
          </w:p>
        </w:tc>
        <w:tc>
          <w:tcPr>
            <w:tcW w:w="456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APPENDIX A RECONCILIATION OF NON-GAAP FINANCIAL MEASURE</w:t>
              </w:r>
            </w:hyperlink>
          </w:p>
        </w:tc>
        <w:tc>
          <w:tcPr>
            <w:tcW w:w="532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21557 Telegraph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ANNUAL MEETING</w:t>
      </w:r>
    </w:p>
    <w:p>
      <w:pPr>
        <w:spacing w:after="0" w:line="173"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related to the 2016 Annual Meeting of Stockholders (the “Annual Meeting”) of Lear Corporation (referred to herein as the “Company,” “Lear,” “we,” “us” or “our” as the context requires) to be held at the Company’s corporate headquarters, 21557 Telegraph Road, Southfield, Michigan 48033, on May 19, 2016, at 9:00 a.m. (Eastern Time). This proxy statement is first being distributed to stockholders on or about April 4, 2016.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you send me this proxy statement?</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sent you this proxy statement because the Board of Directors (the “Board”) of the Company is soliciting your proxy to vote at the Annual Meeting to be held on May 19, 2016, at 9:00 a.m. (Eastern Time) and at any postponements or adjournments of the Annual Meeting. This proxy statement summarizes information that is intended to assist you in making an informed vote on the proposals described in this proxy statement.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92"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Only stockholders of record as of the record date are entitled to vote at the Annual Meeting. The record date to determine stockholders entitled to notice of and to vote at the Annual Meeting is the close of business on March 24, 2016. On the record date, there were 73,371,256 shares of our common stock, par value $0.01 per share, outstanding (excluding 608,316 shares reserved for the satisfaction of certain claims in connection with our emergence from chapter 11 bankruptcy proceedings, which are not entitled to vote at the Annual Meeting). Our common stock is the only class of voting securities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conduct the Annual Meeting?</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must have a quorum present in person or by proxy to conduct the Annual Meeting. A quorum is established when a majority of shares entitled to vote is present in person or represented by proxy at the Annual Meeting. Abstentions and broker non-votes (as described below) are counted for purposes of determining whether a quorum is present.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are to be voted on at the Annual Meeting?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agenda for the Annual Meeting is to:</w:t>
      </w:r>
    </w:p>
    <w:p>
      <w:pPr>
        <w:spacing w:after="0" w:line="158" w:lineRule="exact"/>
        <w:rPr>
          <w:sz w:val="20"/>
          <w:szCs w:val="20"/>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ten directors;</w:t>
      </w:r>
    </w:p>
    <w:p>
      <w:pPr>
        <w:spacing w:after="0" w:line="15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retention of Ernst &amp; Young LLP as our independent registered public accounting firm for 2016;</w:t>
      </w:r>
    </w:p>
    <w:p>
      <w:pPr>
        <w:spacing w:after="0" w:line="15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advisory vote to approve our executive compensation; and</w:t>
      </w:r>
    </w:p>
    <w:p>
      <w:pPr>
        <w:spacing w:after="0" w:line="15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other business properly brought before the Annual Meeting or any adjournments or postponements thereof.</w:t>
      </w:r>
    </w:p>
    <w:p>
      <w:pPr>
        <w:spacing w:after="0" w:line="17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recommends that you vote:</w:t>
      </w:r>
    </w:p>
    <w:p>
      <w:pPr>
        <w:spacing w:after="0" w:line="210" w:lineRule="exact"/>
        <w:rPr>
          <w:sz w:val="20"/>
          <w:szCs w:val="20"/>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Lear’s director nominees named in this proxy statement;</w:t>
      </w:r>
    </w:p>
    <w:p>
      <w:pPr>
        <w:spacing w:after="0" w:line="21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retention of Ernst &amp; Young LLP as our independent registered public accounting firm for 2016; and</w:t>
      </w:r>
    </w:p>
    <w:p>
      <w:pPr>
        <w:spacing w:after="0" w:line="21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an advisory basis, of our executive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at the Annual Meeting?</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You may vote in person at the Annual Meeting or by proxy. In addition, if you are a stockholder of record of Lear’s shares, there are three ways to vote by proxy:</w:t>
      </w:r>
    </w:p>
    <w:p>
      <w:pPr>
        <w:spacing w:after="0" w:line="39" w:lineRule="exact"/>
        <w:rPr>
          <w:sz w:val="20"/>
          <w:szCs w:val="20"/>
          <w:color w:val="auto"/>
        </w:rPr>
      </w:pPr>
    </w:p>
    <w:p>
      <w:pPr>
        <w:ind w:left="660" w:right="340" w:hanging="206"/>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following the instructions on your proxy card. You will need to use the control number appearing on your Notice or proxy card to vote by telephone;</w:t>
      </w:r>
    </w:p>
    <w:p>
      <w:pPr>
        <w:spacing w:after="0" w:line="38" w:lineRule="exact"/>
        <w:rPr>
          <w:rFonts w:ascii="Times New Roman" w:cs="Times New Roman" w:eastAsia="Times New Roman" w:hAnsi="Times New Roman"/>
          <w:sz w:val="18"/>
          <w:szCs w:val="18"/>
          <w:color w:val="auto"/>
        </w:rPr>
      </w:pPr>
    </w:p>
    <w:p>
      <w:pPr>
        <w:ind w:left="660" w:right="360" w:hanging="206"/>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via the Internet by following the instructions on your proxy card. You will need to use the control number appearing on your Notice or proxy card to vote via the Internet; or</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completing, dating, signing and returning the proxy card.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are a beneficial owner of shares held in street name, you may vote as follows:</w:t>
      </w:r>
    </w:p>
    <w:p>
      <w:pPr>
        <w:spacing w:after="0" w:line="90" w:lineRule="exact"/>
        <w:rPr>
          <w:sz w:val="20"/>
          <w:szCs w:val="20"/>
          <w:color w:val="auto"/>
        </w:rPr>
      </w:pPr>
    </w:p>
    <w:p>
      <w:pPr>
        <w:ind w:left="660" w:right="140" w:hanging="206"/>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If you request printed copies of the proxy materials by mail, you will receive a voting instruction form and you may vote by proxy by calling the toll free number found on the voting instruction form. The availability of telephone voting may depend on the voting process of the organization that holds your shares.</w:t>
      </w:r>
    </w:p>
    <w:p>
      <w:pPr>
        <w:spacing w:after="0" w:line="51" w:lineRule="exact"/>
        <w:rPr>
          <w:rFonts w:ascii="Times New Roman" w:cs="Times New Roman" w:eastAsia="Times New Roman" w:hAnsi="Times New Roman"/>
          <w:sz w:val="18"/>
          <w:szCs w:val="18"/>
          <w:color w:val="auto"/>
        </w:rPr>
      </w:pPr>
    </w:p>
    <w:p>
      <w:pPr>
        <w:ind w:left="660" w:right="460" w:hanging="206"/>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may vote by proxy via the Internet by visiting www.proxyvote.com and entering the control number found in your Notice. The availability of Internet voting may depend on the voting process of the organization that holds your shares.</w:t>
      </w:r>
    </w:p>
    <w:p>
      <w:pPr>
        <w:spacing w:after="0" w:line="38" w:lineRule="exact"/>
        <w:rPr>
          <w:rFonts w:ascii="Times New Roman" w:cs="Times New Roman" w:eastAsia="Times New Roman" w:hAnsi="Times New Roman"/>
          <w:sz w:val="18"/>
          <w:szCs w:val="18"/>
          <w:color w:val="auto"/>
        </w:rPr>
      </w:pPr>
    </w:p>
    <w:p>
      <w:pPr>
        <w:ind w:left="660" w:right="60" w:hanging="206"/>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If you request printed copies of the proxy materials by mail, you will receive a voting instruction form and you may vote by proxy by filling out the voting instruction form and returning it in the envelope provided.</w:t>
      </w:r>
    </w:p>
    <w:p>
      <w:pPr>
        <w:spacing w:after="0" w:line="12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wish to vote in person at the Annual Meeting, you must obtain a “legal proxy” from the organization that holds your shares. A legal proxy is a written document that will authorize you to vote your shares held in street name at the Annual Meeting. Please contact the organization that holds your shares for instructions regarding obtaining a legal proxy. You must bring a copy of the legal proxy to the Annual Meeting and ask for a ballot when you arrive.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Telephone and Internet voting facilities for stockholders of record will be available 24 hours a day. You may vote over the telephone or via the Internet until</w:t>
      </w:r>
    </w:p>
    <w:p>
      <w:pPr>
        <w:spacing w:after="0" w:line="4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11:59 p.m. on May 18, 2016. Even if you plan to attend the Annual Meeting in person, we recommend that you also submit your proxy or voting instructions as described above so that your vote will be counted if you later decide not to attend the Annual Meeting in person.</w:t>
      </w:r>
    </w:p>
    <w:p>
      <w:pPr>
        <w:spacing w:after="0" w:line="13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and FOR the advisory approval of executive compensation described in this proxy statement.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of Internet Availability of Proxy Materials?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You may receive more than one Notice, more than one e-mail or multiple proxy cards or voting instruction cards. For example, if you hold your shares in more than one brokerage account, you may receive a separate Notice, a separate e-mail or a separate voting instruction card for each brokerage account in which you hold shares. If you are a stockholder of record and your shares are registered in more than one name, you may receive more than one Notice, more than one e-mail or more than one proxy card. To vote all of your shares by proxy, you must complete, sign, date and return each proxy card and voting instruction card that you receive and vote over the Internet the shares represented by each Notice that you receive (unless you have requested and received a proxy card or voting instruction card for the shares represented by one or more of those Notices).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change my vote?</w:t>
      </w:r>
    </w:p>
    <w:p>
      <w:pPr>
        <w:spacing w:after="0" w:line="92"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Yes. You may revoke your proxy at any time before it is voted at the Annual Meeting. To change your vote, if you are a stockholder of record, you may submit another later dated proxy by telephone, Internet or mail or by voting your shares in person at the Annual Meeting (your attendance at the Annual Meeting will not, by itself, revoke your proxy; you must vote in person at the Annual Meeting to revoke your proxy). If you are a beneficial owner and your shares are held in street name, you may change your vote by submitting new voting instructions to your bank, broker, trustee or nominee, or if you have obtained a legal proxy from such entity giving you the right to vote your shares, you may change your vote by attending the Annual Meeting and voting in person.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elect directors and approve the other matters described in this proxy statement?</w:t>
      </w:r>
    </w:p>
    <w:p>
      <w:pPr>
        <w:spacing w:after="0" w:line="9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For the ratification of the retention of Ernst &amp; Young LLP as our independent registered public accounting firm (Proposal No. 2) and the advisory approval of our executive compensation (Proposal No. 3), the affirmative vote of the holders of a majority of the shares represented in person or by proxy and entitled to vote on the proposal will be required for approval. Abstentions will not be voted but will be counted for purposes of determining whether there is a quorum. Accordingly, abstentions will have the effect of a negative vote on Proposals No. 2 and 3. Broker non-votes will have no effect on Proposal No. 3. For additional information about broker non-votes see “How do I vote if my bank or broker holds my shares in ‘street name’?”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9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 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if my bank or broker holds my shares in “street name”?</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 respect to non-routine matters (Proposals No. 1 (director elections) and No. 3 (advisory vote on executive compensation)). Thus, if you do not give your bank, broker or 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Each share of common stock that you hold as of the record date entitles you to one vote, without cumulation, on each matter to be voted upon at the Annual Meeting.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the votes be counted at the Annual Meeting?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votes will be counted by the inspector of election appointed for the Annual Meeting.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the Company announce the voting results?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will report the final results of the voting at the Annual Meeting in a filing with the SEC on a Current Report on Form 8-K.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for the Company’s solicitation of proxies?</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 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work?</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 writing at Broadridge, Householding Department, 51 Mercedes Way, Edgewood, New York 11717.</w:t>
      </w:r>
    </w:p>
    <w:p>
      <w:pPr>
        <w:spacing w:after="0" w:line="11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if you currently are a stockholder who shares an address with another stockholder and would like to receive only one copy of future notices and proxy materials for your household, you may notify your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for admission to the Annual Meeting?</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Attendance at the Annual Meeting or any adjournment or postponement thereof will be limited to record and beneficial stockholders as of the record date (March 24, 2016), individuals holding a valid proxy from a record holder and other persons authorized by the Company. If you are a stockholder of record (or a “recordholder”) your name will be verified against the list of stockholders of record prior to your admittance to the Annual Meeting or any adjournment or postponement thereof. You should be prepared to present photo identification for admission. If you hold your shares in a street name, you will need to provide proof of beneficial ownership on the record date, such as a brokerage account statement showing that you owned stock as of the record date, a copy of a voting instruction form provided by your broker, bank or other nominee, or other similar evidence of ownership as of the record date, as well as your photo identification, for admission. If you do not provide photo identification or comply with the other procedures described above, you will not be admitted to the Annual Meeting or any adjournment or postponement thereof. For security reasons, you and your bags may be subject to search prior to your admittance to the Annual Meeting.</w:t>
      </w:r>
    </w:p>
    <w:p>
      <w:pPr>
        <w:spacing w:after="0" w:line="1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Upon the recommendation of our Nominating and Corporate Governance Committee (the “Nominating Committee”), the Board has nominated the ten individuals listed below to stand for election to the Board for a one-year term ending at the annual meeting of stockholders in 2017 or until their successors, if any, are elected or appointed. Our Amended and Restated Certificate of Incorporation and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Simoncini, is an independent director, as further described below in “Directors and Corporate Governance — Independence of Directors.”</w:t>
      </w:r>
    </w:p>
    <w:p>
      <w:pPr>
        <w:spacing w:after="0" w:line="14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80" w:type="dxa"/>
            <w:vAlign w:val="bottom"/>
            <w:gridSpan w:val="3"/>
          </w:tcPr>
          <w:p>
            <w:pPr>
              <w:ind w:left="20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 Bott</w:t>
            </w:r>
          </w:p>
        </w:tc>
        <w:tc>
          <w:tcPr>
            <w:tcW w:w="6880" w:type="dxa"/>
            <w:vAlign w:val="bottom"/>
            <w:gridSpan w:val="3"/>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Capo</w:t>
            </w:r>
          </w:p>
        </w:tc>
        <w:tc>
          <w:tcPr>
            <w:tcW w:w="68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F. Foster</w:t>
            </w:r>
          </w:p>
        </w:tc>
        <w:tc>
          <w:tcPr>
            <w:tcW w:w="6880" w:type="dxa"/>
            <w:vAlign w:val="bottom"/>
            <w:gridSpan w:val="3"/>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Lou Jepsen</w:t>
            </w:r>
          </w:p>
        </w:tc>
        <w:tc>
          <w:tcPr>
            <w:tcW w:w="68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A. Ligocki</w:t>
            </w:r>
          </w:p>
        </w:tc>
        <w:tc>
          <w:tcPr>
            <w:tcW w:w="6880" w:type="dxa"/>
            <w:vAlign w:val="bottom"/>
            <w:gridSpan w:val="3"/>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Conrad L. Mallett, Jr.</w:t>
            </w:r>
          </w:p>
        </w:tc>
        <w:tc>
          <w:tcPr>
            <w:tcW w:w="68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L. Runkle</w:t>
            </w:r>
          </w:p>
        </w:tc>
        <w:tc>
          <w:tcPr>
            <w:tcW w:w="6880" w:type="dxa"/>
            <w:vAlign w:val="bottom"/>
            <w:gridSpan w:val="3"/>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68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C. Smith</w:t>
            </w:r>
          </w:p>
        </w:tc>
        <w:tc>
          <w:tcPr>
            <w:tcW w:w="6880" w:type="dxa"/>
            <w:vAlign w:val="bottom"/>
            <w:gridSpan w:val="3"/>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D.G. Wallace</w:t>
            </w:r>
          </w:p>
        </w:tc>
        <w:tc>
          <w:tcPr>
            <w:tcW w:w="68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Director, Non-Executive Chairman</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Biographical information relating to each of the director nominees is set forth below under “Directors and Corporate Governance” and incorporated by reference herein.</w:t>
      </w:r>
    </w:p>
    <w:p>
      <w:pPr>
        <w:spacing w:after="0" w:line="280" w:lineRule="exact"/>
        <w:rPr>
          <w:sz w:val="20"/>
          <w:szCs w:val="20"/>
          <w:color w:val="auto"/>
        </w:rPr>
      </w:pPr>
    </w:p>
    <w:p>
      <w:pPr>
        <w:jc w:val="center"/>
        <w:ind w:left="280" w:right="80"/>
        <w:spacing w:after="0" w:line="277"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EACH OF LEAR’S DIRECTOR NOMINEES NAMED IN THIS PROXY STATEMENT.</w:t>
      </w:r>
    </w:p>
    <w:p>
      <w:pPr>
        <w:spacing w:after="0" w:line="35" w:lineRule="exact"/>
        <w:rPr>
          <w:sz w:val="20"/>
          <w:szCs w:val="20"/>
          <w:color w:val="auto"/>
        </w:rPr>
      </w:pPr>
    </w:p>
    <w:p>
      <w:pPr>
        <w:jc w:val="center"/>
        <w:ind w:left="300" w:right="60"/>
        <w:spacing w:after="0" w:line="277" w:lineRule="auto"/>
        <w:rPr>
          <w:sz w:val="20"/>
          <w:szCs w:val="20"/>
          <w:color w:val="auto"/>
        </w:rPr>
      </w:pPr>
      <w:r>
        <w:rPr>
          <w:rFonts w:ascii="Times New Roman" w:cs="Times New Roman" w:eastAsia="Times New Roman" w:hAnsi="Times New Roman"/>
          <w:sz w:val="18"/>
          <w:szCs w:val="18"/>
          <w:b w:val="1"/>
          <w:bCs w:val="1"/>
          <w:color w:val="auto"/>
        </w:rPr>
        <w:t>PROXIES SOLICITED BY THE BOARD WILL BE VOTED FOR THE ELECTION OF EACH OF LEAR’S DIRECTOR NOMINEES NAMED IN THIS PROXY STATEMENT UNLESS STOCKHOLDERS SPECIFY A CONTRARY VOTE.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740" w:firstLine="3741"/>
        <w:spacing w:after="0" w:line="392" w:lineRule="auto"/>
        <w:rPr>
          <w:sz w:val="20"/>
          <w:szCs w:val="20"/>
          <w:color w:val="auto"/>
        </w:rPr>
      </w:pPr>
      <w:r>
        <w:rPr>
          <w:rFonts w:ascii="Times New Roman" w:cs="Times New Roman" w:eastAsia="Times New Roman" w:hAnsi="Times New Roman"/>
          <w:sz w:val="18"/>
          <w:szCs w:val="18"/>
          <w:b w:val="1"/>
          <w:bCs w:val="1"/>
          <w:color w:val="auto"/>
        </w:rPr>
        <w:t>DIRECTORS AND CORPORATE GOVERNANCE Director Biographical Information and Qualifications</w:t>
      </w:r>
    </w:p>
    <w:p>
      <w:pPr>
        <w:spacing w:after="0" w:line="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Set forth below is a description of the business experience of each director, as well as the specific qualifications, skills and experiences considered by the Nominating Committee and the Board in recommending our slate of director nominees. Each director listed below is nominated for re-election to the Board for a term expiring at the annual meeting of stockholders in 2017. See “Election of Directors (Proposal No. 1).”</w:t>
      </w:r>
    </w:p>
    <w:p>
      <w:pPr>
        <w:spacing w:after="0" w:line="171" w:lineRule="exact"/>
        <w:rPr>
          <w:sz w:val="20"/>
          <w:szCs w:val="20"/>
          <w:color w:val="auto"/>
        </w:rPr>
      </w:pPr>
    </w:p>
    <w:p>
      <w:pPr>
        <w:spacing w:after="0"/>
        <w:tabs>
          <w:tab w:leader="none" w:pos="3740" w:val="left"/>
          <w:tab w:leader="none" w:pos="5600" w:val="left"/>
        </w:tabs>
        <w:rPr>
          <w:sz w:val="20"/>
          <w:szCs w:val="20"/>
          <w:color w:val="auto"/>
        </w:rPr>
      </w:pPr>
      <w:r>
        <w:rPr>
          <w:rFonts w:ascii="Times New Roman" w:cs="Times New Roman" w:eastAsia="Times New Roman" w:hAnsi="Times New Roman"/>
          <w:sz w:val="18"/>
          <w:szCs w:val="18"/>
          <w:i w:val="1"/>
          <w:iCs w:val="1"/>
          <w:color w:val="auto"/>
        </w:rPr>
        <w:t>Richard H. Bott</w:t>
      </w:r>
      <w:r>
        <w:rPr>
          <w:sz w:val="20"/>
          <w:szCs w:val="20"/>
          <w:color w:val="auto"/>
        </w:rPr>
        <w:tab/>
      </w:r>
      <w:r>
        <w:rPr>
          <w:rFonts w:ascii="Times New Roman" w:cs="Times New Roman" w:eastAsia="Times New Roman" w:hAnsi="Times New Roman"/>
          <w:sz w:val="18"/>
          <w:szCs w:val="18"/>
          <w:color w:val="auto"/>
        </w:rPr>
        <w:t>Age: 69</w:t>
      </w:r>
      <w:r>
        <w:rPr>
          <w:sz w:val="20"/>
          <w:szCs w:val="20"/>
          <w:color w:val="auto"/>
        </w:rPr>
        <w:tab/>
      </w:r>
      <w:r>
        <w:rPr>
          <w:rFonts w:ascii="Times New Roman" w:cs="Times New Roman" w:eastAsia="Times New Roman" w:hAnsi="Times New Roman"/>
          <w:sz w:val="16"/>
          <w:szCs w:val="16"/>
          <w:color w:val="auto"/>
        </w:rPr>
        <w:t>Lear Committees:</w:t>
      </w:r>
    </w:p>
    <w:p>
      <w:pPr>
        <w:spacing w:after="0" w:line="92" w:lineRule="exact"/>
        <w:rPr>
          <w:sz w:val="20"/>
          <w:szCs w:val="20"/>
          <w:color w:val="auto"/>
        </w:rPr>
      </w:pPr>
    </w:p>
    <w:p>
      <w:pPr>
        <w:ind w:left="5720"/>
        <w:spacing w:after="0"/>
        <w:tabs>
          <w:tab w:leader="none" w:pos="5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Audit</w:t>
      </w:r>
    </w:p>
    <w:p>
      <w:pPr>
        <w:spacing w:after="0" w:line="2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2" w:lineRule="exact"/>
        <w:rPr>
          <w:sz w:val="20"/>
          <w:szCs w:val="20"/>
          <w:color w:val="auto"/>
        </w:rPr>
      </w:pPr>
    </w:p>
    <w:p>
      <w:pPr>
        <w:ind w:left="3760"/>
        <w:spacing w:after="0" w:line="252" w:lineRule="auto"/>
        <w:rPr>
          <w:sz w:val="20"/>
          <w:szCs w:val="20"/>
          <w:color w:val="auto"/>
        </w:rPr>
      </w:pPr>
      <w:r>
        <w:rPr>
          <w:rFonts w:ascii="Times New Roman" w:cs="Times New Roman" w:eastAsia="Times New Roman" w:hAnsi="Times New Roman"/>
          <w:sz w:val="18"/>
          <w:szCs w:val="18"/>
          <w:color w:val="auto"/>
        </w:rPr>
        <w:t>Mr. Bott has been a director of the Company since September 2013. Mr. Bott worked in investment banking for more than 35 years at Morgan Stanley &amp; Co. and Credit Suisse First Boston (now Credit Suisse), where he provided financial structuring and strategic advice to numerous large American and international corporations, with a focus on industrial, automotive and transportation companies. Mr. Bott served as Vice Chairman, Institutional Securities Group of Morgan Stanley &amp; Co. Incorporated from 2003 until his retirement at the end of 2007. Prior to holding this position, Mr. Bott served as Vice Chairman, Investment Banking, of Credit Suisse First Boston Corporation from 1998 to 2003; Managing Director, The First Boston Corporation and its successor companies, CS First Boston Corporation and Credit Suisse First Boston Corporation, from 1982 to 1998; and Vice President, Assistant Vice President &amp; Associate, The First Boston Corporation from 1972 to 1982. Mr. Bott is also a director of Genesee &amp; Wyoming Inc., serving on both the Audit and Compensation Committees. Mr. Bott has a bachelor’s degree in Economics from Princeton University and an MBA from Columbia Business School.</w:t>
      </w:r>
    </w:p>
    <w:p>
      <w:pPr>
        <w:spacing w:after="0" w:line="18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960" w:hanging="198"/>
        <w:spacing w:after="0"/>
        <w:tabs>
          <w:tab w:leader="none" w:pos="3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and leadership experience</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directorship and committee experience</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global finance, investment banking and capital markets</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experience in structuring and executing financing transactions, and mergers and acquisitions</w:t>
      </w:r>
    </w:p>
    <w:p>
      <w:pPr>
        <w:spacing w:after="0" w:line="113" w:lineRule="exact"/>
        <w:rPr>
          <w:rFonts w:ascii="Times New Roman" w:cs="Times New Roman" w:eastAsia="Times New Roman" w:hAnsi="Times New Roman"/>
          <w:sz w:val="16"/>
          <w:szCs w:val="16"/>
          <w:color w:val="auto"/>
        </w:rPr>
      </w:pPr>
    </w:p>
    <w:p>
      <w:pPr>
        <w:ind w:left="3960" w:hanging="198"/>
        <w:spacing w:after="0"/>
        <w:tabs>
          <w:tab w:leader="none" w:pos="3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740" w:val="left"/>
          <w:tab w:leader="none" w:pos="6040" w:val="left"/>
        </w:tabs>
        <w:rPr>
          <w:sz w:val="20"/>
          <w:szCs w:val="20"/>
          <w:color w:val="auto"/>
        </w:rPr>
      </w:pPr>
      <w:r>
        <w:rPr>
          <w:rFonts w:ascii="Times New Roman" w:cs="Times New Roman" w:eastAsia="Times New Roman" w:hAnsi="Times New Roman"/>
          <w:sz w:val="18"/>
          <w:szCs w:val="18"/>
          <w:i w:val="1"/>
          <w:iCs w:val="1"/>
          <w:color w:val="auto"/>
        </w:rPr>
        <w:t>Thomas P. Capo</w:t>
      </w:r>
      <w:r>
        <w:rPr>
          <w:sz w:val="20"/>
          <w:szCs w:val="20"/>
          <w:color w:val="auto"/>
        </w:rPr>
        <w:tab/>
      </w:r>
      <w:r>
        <w:rPr>
          <w:rFonts w:ascii="Times New Roman" w:cs="Times New Roman" w:eastAsia="Times New Roman" w:hAnsi="Times New Roman"/>
          <w:sz w:val="18"/>
          <w:szCs w:val="18"/>
          <w:color w:val="auto"/>
        </w:rPr>
        <w:t>Age: 65</w:t>
      </w:r>
      <w:r>
        <w:rPr>
          <w:sz w:val="20"/>
          <w:szCs w:val="20"/>
          <w:color w:val="auto"/>
        </w:rPr>
        <w:tab/>
      </w:r>
      <w:r>
        <w:rPr>
          <w:rFonts w:ascii="Times New Roman" w:cs="Times New Roman" w:eastAsia="Times New Roman" w:hAnsi="Times New Roman"/>
          <w:sz w:val="16"/>
          <w:szCs w:val="16"/>
          <w:color w:val="auto"/>
        </w:rPr>
        <w:t>Lear Committees:</w:t>
      </w:r>
    </w:p>
    <w:p>
      <w:pPr>
        <w:spacing w:after="0" w:line="92"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Audit</w:t>
      </w:r>
    </w:p>
    <w:p>
      <w:pPr>
        <w:spacing w:after="0" w:line="90"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Compensation (Chair)</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1" w:lineRule="exact"/>
        <w:rPr>
          <w:sz w:val="20"/>
          <w:szCs w:val="20"/>
          <w:color w:val="auto"/>
        </w:rPr>
      </w:pPr>
    </w:p>
    <w:p>
      <w:pPr>
        <w:ind w:left="3760"/>
        <w:spacing w:after="0" w:line="288" w:lineRule="auto"/>
        <w:rPr>
          <w:sz w:val="20"/>
          <w:szCs w:val="20"/>
          <w:color w:val="auto"/>
        </w:rPr>
      </w:pPr>
      <w:r>
        <w:rPr>
          <w:rFonts w:ascii="Times New Roman" w:cs="Times New Roman" w:eastAsia="Times New Roman" w:hAnsi="Times New Roman"/>
          <w:sz w:val="16"/>
          <w:szCs w:val="16"/>
          <w:color w:val="auto"/>
        </w:rPr>
        <w:t>Mr. Capo has been a director of the Company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a director of Cooper Tire &amp; Rubber Company. Previously, Mr. Capo served as a director of Dollar Thrifty Automotive Group, Inc. from its initial public offering in 1997 until its sale to Hertz Corporation in 2012, JLG Industries, Inc. until its sale to Oshkosh Corp. in 2006, Sonic Automotive, Inc. and Microheat, Inc. Mr. Capo has a bachelor’s degree in Finance, an MBA and a master’s degree in Economics from the University of Detroit-Mercy.</w:t>
      </w:r>
    </w:p>
    <w:p>
      <w:pPr>
        <w:spacing w:after="0" w:line="37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960" w:hanging="198"/>
        <w:spacing w:after="0"/>
        <w:tabs>
          <w:tab w:leader="none" w:pos="3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management and leadership experience, with extensive knowledge of the automotive industry</w:t>
      </w:r>
    </w:p>
    <w:p>
      <w:pPr>
        <w:spacing w:after="0" w:line="113" w:lineRule="exact"/>
        <w:rPr>
          <w:rFonts w:ascii="Times New Roman" w:cs="Times New Roman" w:eastAsia="Times New Roman" w:hAnsi="Times New Roman"/>
          <w:sz w:val="16"/>
          <w:szCs w:val="16"/>
          <w:color w:val="auto"/>
        </w:rPr>
      </w:pPr>
    </w:p>
    <w:p>
      <w:pPr>
        <w:ind w:left="3960" w:hanging="198"/>
        <w:spacing w:after="0"/>
        <w:tabs>
          <w:tab w:leader="none" w:pos="3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directorship and committee experience, including at board chairman level</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global finance, treasury, investment management and capital markets</w:t>
      </w:r>
    </w:p>
    <w:p>
      <w:pPr>
        <w:spacing w:after="0" w:line="90" w:lineRule="exact"/>
        <w:rPr>
          <w:rFonts w:ascii="Times New Roman" w:cs="Times New Roman" w:eastAsia="Times New Roman" w:hAnsi="Times New Roman"/>
          <w:sz w:val="18"/>
          <w:szCs w:val="18"/>
          <w:color w:val="auto"/>
        </w:rPr>
      </w:pPr>
    </w:p>
    <w:p>
      <w:pPr>
        <w:ind w:left="3980" w:right="680" w:hanging="218"/>
        <w:spacing w:after="0" w:line="275" w:lineRule="auto"/>
        <w:tabs>
          <w:tab w:leader="none" w:pos="39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leadership and management experience in mergers, acquisitions and divestitures, strategy development and capital restructuring</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financial analysis, financial reporting, compliance and internal controls</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00"/>
          </w:cols>
          <w:pgMar w:left="240" w:top="455" w:right="3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740" w:val="left"/>
          <w:tab w:leader="none" w:pos="6040" w:val="left"/>
        </w:tabs>
        <w:rPr>
          <w:sz w:val="20"/>
          <w:szCs w:val="20"/>
          <w:color w:val="auto"/>
        </w:rPr>
      </w:pPr>
      <w:r>
        <w:rPr>
          <w:rFonts w:ascii="Times New Roman" w:cs="Times New Roman" w:eastAsia="Times New Roman" w:hAnsi="Times New Roman"/>
          <w:sz w:val="18"/>
          <w:szCs w:val="18"/>
          <w:i w:val="1"/>
          <w:iCs w:val="1"/>
          <w:color w:val="auto"/>
        </w:rPr>
        <w:t>Jonathan F. Foster</w:t>
      </w:r>
      <w:r>
        <w:rPr>
          <w:sz w:val="20"/>
          <w:szCs w:val="20"/>
          <w:color w:val="auto"/>
        </w:rPr>
        <w:tab/>
      </w:r>
      <w:r>
        <w:rPr>
          <w:rFonts w:ascii="Times New Roman" w:cs="Times New Roman" w:eastAsia="Times New Roman" w:hAnsi="Times New Roman"/>
          <w:sz w:val="18"/>
          <w:szCs w:val="18"/>
          <w:color w:val="auto"/>
        </w:rPr>
        <w:t>Age: 55</w:t>
      </w:r>
      <w:r>
        <w:rPr>
          <w:sz w:val="20"/>
          <w:szCs w:val="20"/>
          <w:color w:val="auto"/>
        </w:rPr>
        <w:tab/>
      </w:r>
      <w:r>
        <w:rPr>
          <w:rFonts w:ascii="Times New Roman" w:cs="Times New Roman" w:eastAsia="Times New Roman" w:hAnsi="Times New Roman"/>
          <w:sz w:val="16"/>
          <w:szCs w:val="16"/>
          <w:color w:val="auto"/>
        </w:rPr>
        <w:t>Lear Committees:</w:t>
      </w:r>
    </w:p>
    <w:p>
      <w:pPr>
        <w:spacing w:after="0" w:line="92"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Audit</w:t>
      </w:r>
    </w:p>
    <w:p>
      <w:pPr>
        <w:spacing w:after="0" w:line="90"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Nominating and Corporate Governance (Chair)</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1" w:lineRule="exact"/>
        <w:rPr>
          <w:sz w:val="20"/>
          <w:szCs w:val="20"/>
          <w:color w:val="auto"/>
        </w:rPr>
      </w:pPr>
    </w:p>
    <w:p>
      <w:pPr>
        <w:ind w:left="3760" w:right="60"/>
        <w:spacing w:after="0" w:line="285" w:lineRule="auto"/>
        <w:rPr>
          <w:sz w:val="20"/>
          <w:szCs w:val="20"/>
          <w:color w:val="auto"/>
        </w:rPr>
      </w:pPr>
      <w:r>
        <w:rPr>
          <w:rFonts w:ascii="Times New Roman" w:cs="Times New Roman" w:eastAsia="Times New Roman" w:hAnsi="Times New Roman"/>
          <w:sz w:val="16"/>
          <w:szCs w:val="16"/>
          <w:color w:val="auto"/>
        </w:rPr>
        <w:t>Mr. Foster has been a director of the Company since November 2009. Mr. Foster is Managing Director of Current Capital LLC, a private equity investing and management services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also a director of Masonite International Corporation, Berry Plastics, Chemtura Corporation, and Sabine Oil &amp; Gas. He was a director of privately held TI Automotive and privately held Stackpole; he is Non- Executive Chairman of privately held Chassix. Mr. Foster was previously a member of the board of directors of Smurfit-Stone Container Corporation. Mr. Foster has a bachelor’s degree in Accounting from Emory University, a master’s degree in Accounting &amp; Finance from the London School of Economics and has attended the Executive Education Program at Harvard Business School.</w:t>
      </w:r>
    </w:p>
    <w:p>
      <w:pPr>
        <w:spacing w:after="0" w:line="38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960" w:hanging="198"/>
        <w:spacing w:after="0"/>
        <w:tabs>
          <w:tab w:leader="none" w:pos="3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and leadership experience</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company directorship and committee experience, including with global manufacturing companies</w:t>
      </w:r>
    </w:p>
    <w:p>
      <w:pPr>
        <w:spacing w:after="0" w:line="113" w:lineRule="exact"/>
        <w:rPr>
          <w:rFonts w:ascii="Times New Roman" w:cs="Times New Roman" w:eastAsia="Times New Roman" w:hAnsi="Times New Roman"/>
          <w:sz w:val="16"/>
          <w:szCs w:val="16"/>
          <w:color w:val="auto"/>
        </w:rPr>
      </w:pPr>
    </w:p>
    <w:p>
      <w:pPr>
        <w:ind w:left="3980" w:hanging="218"/>
        <w:spacing w:after="0" w:line="275" w:lineRule="auto"/>
        <w:tabs>
          <w:tab w:leader="none" w:pos="39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financial statement preparation and accounting, financial reporting, compliance and internal controls</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 experience as a chief financial officer</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transactional experience in mergers and acquisitions, debt financings and equity offerings</w:t>
      </w:r>
    </w:p>
    <w:p>
      <w:pPr>
        <w:spacing w:after="0" w:line="90" w:lineRule="exact"/>
        <w:rPr>
          <w:rFonts w:ascii="Times New Roman" w:cs="Times New Roman" w:eastAsia="Times New Roman" w:hAnsi="Times New Roman"/>
          <w:sz w:val="18"/>
          <w:szCs w:val="18"/>
          <w:color w:val="auto"/>
        </w:rPr>
      </w:pPr>
    </w:p>
    <w:p>
      <w:pPr>
        <w:ind w:left="3980" w:right="620" w:hanging="218"/>
        <w:spacing w:after="0" w:line="275" w:lineRule="auto"/>
        <w:tabs>
          <w:tab w:leader="none" w:pos="39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as an investment banker, private equity investor and director with industrial companies, including those in the automotive sector</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680" w:val="left"/>
        </w:tabs>
        <w:rPr>
          <w:sz w:val="20"/>
          <w:szCs w:val="20"/>
          <w:color w:val="auto"/>
        </w:rPr>
      </w:pPr>
      <w:r>
        <w:rPr>
          <w:rFonts w:ascii="Times New Roman" w:cs="Times New Roman" w:eastAsia="Times New Roman" w:hAnsi="Times New Roman"/>
          <w:sz w:val="18"/>
          <w:szCs w:val="18"/>
          <w:i w:val="1"/>
          <w:iCs w:val="1"/>
          <w:color w:val="auto"/>
        </w:rPr>
        <w:t>Mary Lou Jepsen</w:t>
      </w:r>
      <w:r>
        <w:rPr>
          <w:sz w:val="20"/>
          <w:szCs w:val="20"/>
          <w:color w:val="auto"/>
        </w:rPr>
        <w:tab/>
      </w:r>
      <w:r>
        <w:rPr>
          <w:rFonts w:ascii="Times New Roman" w:cs="Times New Roman" w:eastAsia="Times New Roman" w:hAnsi="Times New Roman"/>
          <w:sz w:val="16"/>
          <w:szCs w:val="16"/>
          <w:color w:val="auto"/>
        </w:rPr>
        <w:t>Age: 50</w:t>
      </w:r>
    </w:p>
    <w:p>
      <w:pPr>
        <w:spacing w:after="0" w:line="21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2" w:lineRule="exact"/>
        <w:rPr>
          <w:sz w:val="20"/>
          <w:szCs w:val="20"/>
          <w:color w:val="auto"/>
        </w:rPr>
      </w:pPr>
    </w:p>
    <w:p>
      <w:pPr>
        <w:ind w:left="3700"/>
        <w:spacing w:after="0" w:line="253" w:lineRule="auto"/>
        <w:rPr>
          <w:sz w:val="20"/>
          <w:szCs w:val="20"/>
          <w:color w:val="auto"/>
        </w:rPr>
      </w:pPr>
      <w:r>
        <w:rPr>
          <w:rFonts w:ascii="Times New Roman" w:cs="Times New Roman" w:eastAsia="Times New Roman" w:hAnsi="Times New Roman"/>
          <w:sz w:val="18"/>
          <w:szCs w:val="18"/>
          <w:color w:val="auto"/>
        </w:rPr>
        <w:t>Dr. Jepsen was appointed a director of the Company in March 2016. Dr. Jepsen is the Executive Director of Engineering at Facebook, Inc. and Head of Display Technologies at Oculus where she leads advanced consumer electronics, opto-electronic and display design and manufacturing efforts. Previously, Dr. Jepsen had a similar role at Google, Inc. and Google X. She also co-founded One Laptop per Child, and was the lead architect of the $100 laptop, millions of which were shipped to children in the developing world. She is the principal inventor on approximately 100 patents. She has broad advisory experience in Peru, China, Uruguay, Taiwan, Brazil and the United States, as well as at the United Nations. Dr. Jepsen holds a doctorate degree from Brown University in Optical Sciences, a master of science degree from Massachusetts Institute of Technology in Visual Studies and a bachelor’s of science degree in Electrical Engineering from Brown University.</w:t>
      </w:r>
    </w:p>
    <w:p>
      <w:pPr>
        <w:spacing w:after="0" w:line="1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880" w:hanging="185"/>
        <w:spacing w:after="0"/>
        <w:tabs>
          <w:tab w:leader="none" w:pos="3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world’s foremost display innovators</w:t>
      </w:r>
    </w:p>
    <w:p>
      <w:pPr>
        <w:spacing w:after="0" w:line="90"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Exceptional track record of leadership and innovation</w:t>
      </w:r>
    </w:p>
    <w:p>
      <w:pPr>
        <w:spacing w:after="0" w:line="90"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experience in working with Asia’s largest computer manufacturers</w:t>
      </w:r>
    </w:p>
    <w:p>
      <w:pPr>
        <w:spacing w:after="0" w:line="90"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leadership in engineering with global technology companies</w:t>
      </w:r>
    </w:p>
    <w:p>
      <w:pPr>
        <w:spacing w:after="0" w:line="90" w:lineRule="exact"/>
        <w:rPr>
          <w:rFonts w:ascii="Times New Roman" w:cs="Times New Roman" w:eastAsia="Times New Roman" w:hAnsi="Times New Roman"/>
          <w:sz w:val="18"/>
          <w:szCs w:val="18"/>
          <w:color w:val="auto"/>
        </w:rPr>
      </w:pPr>
    </w:p>
    <w:p>
      <w:pPr>
        <w:jc w:val="both"/>
        <w:ind w:left="3920" w:right="20" w:hanging="225"/>
        <w:spacing w:after="0" w:line="262" w:lineRule="auto"/>
        <w:tabs>
          <w:tab w:leader="none" w:pos="38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Globally recognized with dozens of prestigious awards including TIME magazine’s “Time 100” as one of the 100 most influential people in the world, a CNN top 10 thinker, and by the leading global professional societies in optics, display and electronics</w:t>
      </w:r>
    </w:p>
    <w:p>
      <w:pPr>
        <w:spacing w:after="0" w:line="51"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experience</w:t>
      </w:r>
    </w:p>
    <w:p>
      <w:pPr>
        <w:spacing w:after="0" w:line="90"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740" w:val="left"/>
          <w:tab w:leader="none" w:pos="6040" w:val="left"/>
        </w:tabs>
        <w:rPr>
          <w:sz w:val="20"/>
          <w:szCs w:val="20"/>
          <w:color w:val="auto"/>
        </w:rPr>
      </w:pPr>
      <w:r>
        <w:rPr>
          <w:rFonts w:ascii="Times New Roman" w:cs="Times New Roman" w:eastAsia="Times New Roman" w:hAnsi="Times New Roman"/>
          <w:sz w:val="18"/>
          <w:szCs w:val="18"/>
          <w:i w:val="1"/>
          <w:iCs w:val="1"/>
          <w:color w:val="auto"/>
        </w:rPr>
        <w:t>Kathleen A. Ligocki</w:t>
      </w:r>
      <w:r>
        <w:rPr>
          <w:sz w:val="20"/>
          <w:szCs w:val="20"/>
          <w:color w:val="auto"/>
        </w:rPr>
        <w:tab/>
      </w:r>
      <w:r>
        <w:rPr>
          <w:rFonts w:ascii="Times New Roman" w:cs="Times New Roman" w:eastAsia="Times New Roman" w:hAnsi="Times New Roman"/>
          <w:sz w:val="18"/>
          <w:szCs w:val="18"/>
          <w:color w:val="auto"/>
        </w:rPr>
        <w:t>Age: 59</w:t>
      </w:r>
      <w:r>
        <w:rPr>
          <w:sz w:val="20"/>
          <w:szCs w:val="20"/>
          <w:color w:val="auto"/>
        </w:rPr>
        <w:tab/>
      </w:r>
      <w:r>
        <w:rPr>
          <w:rFonts w:ascii="Times New Roman" w:cs="Times New Roman" w:eastAsia="Times New Roman" w:hAnsi="Times New Roman"/>
          <w:sz w:val="16"/>
          <w:szCs w:val="16"/>
          <w:color w:val="auto"/>
        </w:rPr>
        <w:t>Lear Committees:</w:t>
      </w:r>
    </w:p>
    <w:p>
      <w:pPr>
        <w:spacing w:after="0" w:line="92"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Compensation</w:t>
      </w:r>
    </w:p>
    <w:p>
      <w:pPr>
        <w:spacing w:after="0" w:line="90"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Nominating and Corporate Governance</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1" w:lineRule="exact"/>
        <w:rPr>
          <w:sz w:val="20"/>
          <w:szCs w:val="20"/>
          <w:color w:val="auto"/>
        </w:rPr>
      </w:pPr>
    </w:p>
    <w:p>
      <w:pPr>
        <w:ind w:left="3760"/>
        <w:spacing w:after="0" w:line="285" w:lineRule="auto"/>
        <w:rPr>
          <w:sz w:val="20"/>
          <w:szCs w:val="20"/>
          <w:color w:val="auto"/>
        </w:rPr>
      </w:pPr>
      <w:r>
        <w:rPr>
          <w:rFonts w:ascii="Times New Roman" w:cs="Times New Roman" w:eastAsia="Times New Roman" w:hAnsi="Times New Roman"/>
          <w:sz w:val="16"/>
          <w:szCs w:val="16"/>
          <w:color w:val="auto"/>
        </w:rPr>
        <w:t>Ms. Ligocki has been a director of the Company since September 2012. Ms. Ligocki is the Chief Executive Officer of Agility Fuel Systems, based in Santa Ana, California. Ms. Ligocki has served as the Chief Executive Officer of Harvest Power, Inc., one of the leading organics management companies in North America from 2014 to 2015. She served as an Operating Partner at Kleiner Perkins Caufield &amp; Byers, one of Silicon Valley’s top venture capital providers. Ms. Ligocki worked with the firm’s greentech ventures on strategic challenges, scaling operations and commercialization from 2012 to 2014. Ms. Ligocki also has served as the Chief Executive Officer of two early stage companies: Next Autoworks, an auto company with a unique low-cost business model, from 2010 to 2012, and GS Motors, a Mexico City-based auto retailer owned by Grupo Salinas, a large Mexican conglomerate, from 2008 to 2009. From 2008 to 2010, Ms. Ligocki also served as a Principal in Pine Lake Partners, a consultancy focused on start-ups and turnarounds. From 2003 to 2007, 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career at General Motors Corporation working for 15 years at Delco Electronics Corporation. Ms. Ligocki formerly served as a director of Harvest Power, Inc., Ultura, Inc., Ashland Inc., Next Autoworks, BlueOak Resources and Lehigh Technologies.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37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960" w:hanging="198"/>
        <w:spacing w:after="0"/>
        <w:tabs>
          <w:tab w:leader="none" w:pos="3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and leadership experience, including in the automotive industry</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directorship and committee experience, including in the automotive industry</w:t>
      </w:r>
    </w:p>
    <w:p>
      <w:pPr>
        <w:spacing w:after="0" w:line="90" w:lineRule="exact"/>
        <w:rPr>
          <w:rFonts w:ascii="Times New Roman" w:cs="Times New Roman" w:eastAsia="Times New Roman" w:hAnsi="Times New Roman"/>
          <w:sz w:val="18"/>
          <w:szCs w:val="18"/>
          <w:color w:val="auto"/>
        </w:rPr>
      </w:pPr>
    </w:p>
    <w:p>
      <w:pPr>
        <w:ind w:left="3980" w:right="800" w:hanging="218"/>
        <w:spacing w:after="0" w:line="275" w:lineRule="auto"/>
        <w:tabs>
          <w:tab w:leader="none" w:pos="39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financial analysis, financial statement preparation, financial reporting, compliance and internal controls</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experience in international automotive operations</w:t>
      </w:r>
    </w:p>
    <w:p>
      <w:pPr>
        <w:spacing w:after="0" w:line="90" w:lineRule="exact"/>
        <w:rPr>
          <w:rFonts w:ascii="Times New Roman" w:cs="Times New Roman" w:eastAsia="Times New Roman" w:hAnsi="Times New Roman"/>
          <w:sz w:val="18"/>
          <w:szCs w:val="18"/>
          <w:color w:val="auto"/>
        </w:rPr>
      </w:pPr>
    </w:p>
    <w:p>
      <w:pPr>
        <w:ind w:left="3980" w:right="300" w:hanging="218"/>
        <w:spacing w:after="0" w:line="275" w:lineRule="auto"/>
        <w:tabs>
          <w:tab w:leader="none" w:pos="39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of a wide range of issues through experience with businesses ranging from start-ups to large, global manufacturing operations</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740" w:val="left"/>
          <w:tab w:leader="none" w:pos="6040" w:val="left"/>
        </w:tabs>
        <w:rPr>
          <w:sz w:val="20"/>
          <w:szCs w:val="20"/>
          <w:color w:val="auto"/>
        </w:rPr>
      </w:pPr>
      <w:r>
        <w:rPr>
          <w:rFonts w:ascii="Times New Roman" w:cs="Times New Roman" w:eastAsia="Times New Roman" w:hAnsi="Times New Roman"/>
          <w:sz w:val="18"/>
          <w:szCs w:val="18"/>
          <w:i w:val="1"/>
          <w:iCs w:val="1"/>
          <w:color w:val="auto"/>
        </w:rPr>
        <w:t>Conrad L. Mallett, Jr</w:t>
      </w:r>
      <w:r>
        <w:rPr>
          <w:sz w:val="20"/>
          <w:szCs w:val="20"/>
          <w:color w:val="auto"/>
        </w:rPr>
        <w:tab/>
      </w:r>
      <w:r>
        <w:rPr>
          <w:rFonts w:ascii="Times New Roman" w:cs="Times New Roman" w:eastAsia="Times New Roman" w:hAnsi="Times New Roman"/>
          <w:sz w:val="18"/>
          <w:szCs w:val="18"/>
          <w:color w:val="auto"/>
        </w:rPr>
        <w:t>Age: 62</w:t>
      </w:r>
      <w:r>
        <w:rPr>
          <w:sz w:val="20"/>
          <w:szCs w:val="20"/>
          <w:color w:val="auto"/>
        </w:rPr>
        <w:tab/>
      </w:r>
      <w:r>
        <w:rPr>
          <w:rFonts w:ascii="Times New Roman" w:cs="Times New Roman" w:eastAsia="Times New Roman" w:hAnsi="Times New Roman"/>
          <w:sz w:val="16"/>
          <w:szCs w:val="16"/>
          <w:color w:val="auto"/>
        </w:rPr>
        <w:t>Lear Committees:</w:t>
      </w:r>
    </w:p>
    <w:p>
      <w:pPr>
        <w:spacing w:after="0" w:line="92"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Compensation</w:t>
      </w:r>
    </w:p>
    <w:p>
      <w:pPr>
        <w:spacing w:after="0" w:line="90"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Nominating and Corporate Governance</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1" w:lineRule="exact"/>
        <w:rPr>
          <w:sz w:val="20"/>
          <w:szCs w:val="20"/>
          <w:color w:val="auto"/>
        </w:rPr>
      </w:pPr>
    </w:p>
    <w:p>
      <w:pPr>
        <w:ind w:left="3760"/>
        <w:spacing w:after="0" w:line="287" w:lineRule="auto"/>
        <w:rPr>
          <w:sz w:val="20"/>
          <w:szCs w:val="20"/>
          <w:color w:val="auto"/>
        </w:rPr>
      </w:pPr>
      <w:r>
        <w:rPr>
          <w:rFonts w:ascii="Times New Roman" w:cs="Times New Roman" w:eastAsia="Times New Roman" w:hAnsi="Times New Roman"/>
          <w:sz w:val="16"/>
          <w:szCs w:val="16"/>
          <w:color w:val="auto"/>
        </w:rPr>
        <w:t>Justice Mallett has been a director of the Company since August 2002. Justice Mallett was reappointed Chief Administrative Officer of Detroit Medical Center in January 2012, after serving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is a director of Kelly Services, Inc. Justice Mallett has a bachelor’s degree from the University of California, Los Angeles, a JD and a master of public administration degree from the University of Southern California and an MBA from Oakland University.</w:t>
      </w:r>
    </w:p>
    <w:p>
      <w:pPr>
        <w:spacing w:after="0" w:line="36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960" w:hanging="198"/>
        <w:spacing w:after="0"/>
        <w:tabs>
          <w:tab w:leader="none" w:pos="3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and leadership experience</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gained as Chief Justice of the Michigan Supreme Court</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directorship and committee experience</w:t>
      </w:r>
    </w:p>
    <w:p>
      <w:pPr>
        <w:spacing w:after="0" w:line="90" w:lineRule="exact"/>
        <w:rPr>
          <w:rFonts w:ascii="Times New Roman" w:cs="Times New Roman" w:eastAsia="Times New Roman" w:hAnsi="Times New Roman"/>
          <w:sz w:val="18"/>
          <w:szCs w:val="18"/>
          <w:color w:val="auto"/>
        </w:rPr>
      </w:pPr>
    </w:p>
    <w:p>
      <w:pPr>
        <w:ind w:left="3980" w:right="180" w:hanging="218"/>
        <w:spacing w:after="0" w:line="275" w:lineRule="auto"/>
        <w:tabs>
          <w:tab w:leader="none" w:pos="39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legal and governmental experience, including significant involvement in state, municipal and community governmental activities</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740" w:val="left"/>
          <w:tab w:leader="none" w:pos="6040" w:val="left"/>
        </w:tabs>
        <w:rPr>
          <w:sz w:val="20"/>
          <w:szCs w:val="20"/>
          <w:color w:val="auto"/>
        </w:rPr>
      </w:pPr>
      <w:r>
        <w:rPr>
          <w:rFonts w:ascii="Times New Roman" w:cs="Times New Roman" w:eastAsia="Times New Roman" w:hAnsi="Times New Roman"/>
          <w:sz w:val="18"/>
          <w:szCs w:val="18"/>
          <w:i w:val="1"/>
          <w:iCs w:val="1"/>
          <w:color w:val="auto"/>
        </w:rPr>
        <w:t>Donald L. Runkle</w:t>
      </w:r>
      <w:r>
        <w:rPr>
          <w:sz w:val="20"/>
          <w:szCs w:val="20"/>
          <w:color w:val="auto"/>
        </w:rPr>
        <w:tab/>
      </w:r>
      <w:r>
        <w:rPr>
          <w:rFonts w:ascii="Times New Roman" w:cs="Times New Roman" w:eastAsia="Times New Roman" w:hAnsi="Times New Roman"/>
          <w:sz w:val="18"/>
          <w:szCs w:val="18"/>
          <w:color w:val="auto"/>
        </w:rPr>
        <w:t>Age: 70</w:t>
      </w:r>
      <w:r>
        <w:rPr>
          <w:sz w:val="20"/>
          <w:szCs w:val="20"/>
          <w:color w:val="auto"/>
        </w:rPr>
        <w:tab/>
      </w:r>
      <w:r>
        <w:rPr>
          <w:rFonts w:ascii="Times New Roman" w:cs="Times New Roman" w:eastAsia="Times New Roman" w:hAnsi="Times New Roman"/>
          <w:sz w:val="16"/>
          <w:szCs w:val="16"/>
          <w:color w:val="auto"/>
        </w:rPr>
        <w:t>Lear Committees:</w:t>
      </w:r>
    </w:p>
    <w:p>
      <w:pPr>
        <w:spacing w:after="0" w:line="92"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Compensation</w:t>
      </w:r>
    </w:p>
    <w:p>
      <w:pPr>
        <w:spacing w:after="0" w:line="90"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Nominating and Corporate Governance</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1" w:lineRule="exact"/>
        <w:rPr>
          <w:sz w:val="20"/>
          <w:szCs w:val="20"/>
          <w:color w:val="auto"/>
        </w:rPr>
      </w:pPr>
    </w:p>
    <w:p>
      <w:pPr>
        <w:ind w:left="3760"/>
        <w:spacing w:after="0" w:line="285" w:lineRule="auto"/>
        <w:rPr>
          <w:sz w:val="20"/>
          <w:szCs w:val="20"/>
          <w:color w:val="auto"/>
        </w:rPr>
      </w:pPr>
      <w:r>
        <w:rPr>
          <w:rFonts w:ascii="Times New Roman" w:cs="Times New Roman" w:eastAsia="Times New Roman" w:hAnsi="Times New Roman"/>
          <w:sz w:val="16"/>
          <w:szCs w:val="16"/>
          <w:color w:val="auto"/>
        </w:rPr>
        <w:t>Mr. Runkle has been a director of the Company since November 2009. Mr. Runkle currently serves as the Executive Chairman of Ioxus Inc. and is a Director of VIA Motors and the Lean Enterprise Institute. He also serves as an Operating Executive Advisor at Tennenbaum Capital Partners, a position he has held since 2005, and is on the Advisory Boards of General Fusion, PowerGenix and TULA Technology. Mr. Runkle also serves on the Engineering Advisory Council of the University of Michigan. Recently, Mr. Runkle was Executive Chairman of EcoMotors International and formerly served as its Chief Executive Officer. He was also formerly Chairman of Autocam and Eagle-Picher Corporations, and formerly a director of Envirotest, Transonic Combustion and WinCup Corporation. From 1999 until 2005, Mr. Runkle held various executive-level positions at Delphi Corporation, including Director, Vice Chairman and Chief Technology Officer from 2003 until 2005, Executive Vice President and President, Delphi Dynamics and Propulsion Sector from 2000 until 2003 and President, Delphi Energy and Engine Management Systems from 1999 to 2000. Prior to Delphi, Mr. Runkle was employed by General Motors Corporation for over 30 years in various executive-level positions, including Vice President &amp; General Manager of Energy &amp; Engine Management Systems from 1996 until 1999, Vice President &amp; General Manager of Saginaw Steering Systems from 1993 until 1996, Vice President of North American Engineering Operations from 1992 to 1993, Vice President of Advanced Engineering from 1988 to 1992, as well as Chief Engineer of Chevrolet and Assistant Chief Engineer of Buick. Mr. Runkle has a bachelor’s and master’s degree in Mechanical Engineering from the University of Michigan and a Master of Science in Management Studies degree, as a Sloan Fellow, from the Massachusetts Institute of Technology.</w:t>
      </w:r>
    </w:p>
    <w:p>
      <w:pPr>
        <w:spacing w:after="0" w:line="200" w:lineRule="exact"/>
        <w:rPr>
          <w:sz w:val="20"/>
          <w:szCs w:val="20"/>
          <w:color w:val="auto"/>
        </w:rPr>
      </w:pPr>
    </w:p>
    <w:p>
      <w:pPr>
        <w:spacing w:after="0" w:line="3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960" w:hanging="198"/>
        <w:spacing w:after="0"/>
        <w:tabs>
          <w:tab w:leader="none" w:pos="3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and leadership experience, including in the automotive industry</w:t>
      </w:r>
    </w:p>
    <w:p>
      <w:pPr>
        <w:spacing w:after="0" w:line="90" w:lineRule="exact"/>
        <w:rPr>
          <w:rFonts w:ascii="Times New Roman" w:cs="Times New Roman" w:eastAsia="Times New Roman" w:hAnsi="Times New Roman"/>
          <w:sz w:val="18"/>
          <w:szCs w:val="18"/>
          <w:color w:val="auto"/>
        </w:rPr>
      </w:pPr>
    </w:p>
    <w:p>
      <w:pPr>
        <w:ind w:left="3980" w:right="160" w:hanging="218"/>
        <w:spacing w:after="0" w:line="275" w:lineRule="auto"/>
        <w:tabs>
          <w:tab w:leader="none" w:pos="39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consulting experience in technology, including in the automotive industry and as chief technology officer</w:t>
      </w:r>
    </w:p>
    <w:p>
      <w:pPr>
        <w:spacing w:after="0" w:line="38" w:lineRule="exact"/>
        <w:rPr>
          <w:rFonts w:ascii="Times New Roman" w:cs="Times New Roman" w:eastAsia="Times New Roman" w:hAnsi="Times New Roman"/>
          <w:sz w:val="18"/>
          <w:szCs w:val="18"/>
          <w:color w:val="auto"/>
        </w:rPr>
      </w:pPr>
    </w:p>
    <w:p>
      <w:pPr>
        <w:ind w:left="3980" w:right="180" w:hanging="218"/>
        <w:spacing w:after="0" w:line="275" w:lineRule="auto"/>
        <w:tabs>
          <w:tab w:leader="none" w:pos="39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Directorship and management experience, including in the automotive industry, at board chairman level and with a public company</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740" w:val="left"/>
          <w:tab w:leader="none" w:pos="6040" w:val="left"/>
        </w:tabs>
        <w:rPr>
          <w:sz w:val="20"/>
          <w:szCs w:val="20"/>
          <w:color w:val="auto"/>
        </w:rPr>
      </w:pPr>
      <w:r>
        <w:rPr>
          <w:rFonts w:ascii="Times New Roman" w:cs="Times New Roman" w:eastAsia="Times New Roman" w:hAnsi="Times New Roman"/>
          <w:sz w:val="18"/>
          <w:szCs w:val="18"/>
          <w:i w:val="1"/>
          <w:iCs w:val="1"/>
          <w:color w:val="auto"/>
        </w:rPr>
        <w:t>Matthew J. Simoncini</w:t>
      </w:r>
      <w:r>
        <w:rPr>
          <w:sz w:val="20"/>
          <w:szCs w:val="20"/>
          <w:color w:val="auto"/>
        </w:rPr>
        <w:tab/>
      </w:r>
      <w:r>
        <w:rPr>
          <w:rFonts w:ascii="Times New Roman" w:cs="Times New Roman" w:eastAsia="Times New Roman" w:hAnsi="Times New Roman"/>
          <w:sz w:val="18"/>
          <w:szCs w:val="18"/>
          <w:color w:val="auto"/>
        </w:rPr>
        <w:t>Age: 55</w:t>
      </w:r>
      <w:r>
        <w:rPr>
          <w:sz w:val="20"/>
          <w:szCs w:val="20"/>
          <w:color w:val="auto"/>
        </w:rPr>
        <w:tab/>
      </w:r>
      <w:r>
        <w:rPr>
          <w:rFonts w:ascii="Times New Roman" w:cs="Times New Roman" w:eastAsia="Times New Roman" w:hAnsi="Times New Roman"/>
          <w:sz w:val="16"/>
          <w:szCs w:val="16"/>
          <w:color w:val="auto"/>
        </w:rPr>
        <w:t>President and Chief Executive Officer</w:t>
      </w:r>
    </w:p>
    <w:p>
      <w:pPr>
        <w:spacing w:after="0" w:line="2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2" w:lineRule="exact"/>
        <w:rPr>
          <w:sz w:val="20"/>
          <w:szCs w:val="20"/>
          <w:color w:val="auto"/>
        </w:rPr>
      </w:pPr>
    </w:p>
    <w:p>
      <w:pPr>
        <w:ind w:left="3760"/>
        <w:spacing w:after="0" w:line="251" w:lineRule="auto"/>
        <w:rPr>
          <w:sz w:val="20"/>
          <w:szCs w:val="20"/>
          <w:color w:val="auto"/>
        </w:rPr>
      </w:pPr>
      <w:r>
        <w:rPr>
          <w:rFonts w:ascii="Times New Roman" w:cs="Times New Roman" w:eastAsia="Times New Roman" w:hAnsi="Times New Roman"/>
          <w:sz w:val="18"/>
          <w:szCs w:val="18"/>
          <w:color w:val="auto"/>
        </w:rPr>
        <w:t>Mr. Simoncini has served as President, Chief Executive Officer and a director of the Company since September 2011. In this role, Mr. Simoncini is responsible for the strategic direction and operational leadership of the Company. Formerly, Mr. Simoncini was Senior Vice President and Chief Financial Officer of the Company, a role he had held since September 2007. As Senior Vice President and Chief Financial Officer, he was responsible for the Company’s global Finance operations, including external Financial Reporting, Corporate Business Planning &amp; Analysis, Corporate Strategy and Business Development as well as Information Technology activities worldwide. In August 2006, Mr. Simoncini was named Senior Vice President of Finance and Chief Accounting Officer where he was responsible for the Company’s worldwide operational finance, accounting and financial reporting. Prior to that, he was vice president of Global Finance, a position he had held since June 2004. Mr. Simoncini also served as the Company’s Vice President of Finance — Europe as well as held the Vice President of Finance position for the Company’s Electrical &amp; Electronics business and DaimlerChrysler division. Mr. Simoncini joined United Technologies Automotive (“UTA”) in April 1996 as director of Finance for the Motors Division with responsibility for the financial activities of the business unit. At the time of the Company’s acquisition of UTA in May 1999, Mr. Simoncini was director of Global Financial Planning &amp; Analysis. Previous to UTA, Mr. Simoncini held financial and manufacturing positions with Varity Kelsey Hayes and Horizon Enterprises including Chief Financial Officer of Kelsey Hayes’ European Operations. Mr. Simoncini began his career at Touche Ross and is a certified public accountant. In addition to his responsibilities at the Company, Mr. Simoncini is a member of the board of directors for the Wayne State University Foundation, Detroit Economic Club, Business Leaders of Michigan and the Michigan Opera Theatre. Mr. Simoncini earned a bachelor’s degree in Accounting from Wayne State University.</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980" w:right="600" w:hanging="218"/>
        <w:spacing w:after="0" w:line="275" w:lineRule="auto"/>
        <w:tabs>
          <w:tab w:leader="none" w:pos="39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and leadership experience with the Company, current President and Chief Executive Officer, former Senior Vice President and Chief Financial Officer</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of leadership, achievement and execution of the Company’s business and global strategy</w:t>
      </w:r>
    </w:p>
    <w:p>
      <w:pPr>
        <w:spacing w:after="0" w:line="90" w:lineRule="exact"/>
        <w:rPr>
          <w:rFonts w:ascii="Times New Roman" w:cs="Times New Roman" w:eastAsia="Times New Roman" w:hAnsi="Times New Roman"/>
          <w:sz w:val="18"/>
          <w:szCs w:val="18"/>
          <w:color w:val="auto"/>
        </w:rPr>
      </w:pPr>
    </w:p>
    <w:p>
      <w:pPr>
        <w:ind w:left="3980" w:right="440" w:hanging="218"/>
        <w:spacing w:after="0" w:line="275" w:lineRule="auto"/>
        <w:tabs>
          <w:tab w:leader="none" w:pos="39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understanding of finance, treasury, financial reporting, investment analysis, management, compliance and internal controls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740" w:val="left"/>
          <w:tab w:leader="none" w:pos="6040" w:val="left"/>
        </w:tabs>
        <w:rPr>
          <w:sz w:val="20"/>
          <w:szCs w:val="20"/>
          <w:color w:val="auto"/>
        </w:rPr>
      </w:pPr>
      <w:r>
        <w:rPr>
          <w:rFonts w:ascii="Times New Roman" w:cs="Times New Roman" w:eastAsia="Times New Roman" w:hAnsi="Times New Roman"/>
          <w:sz w:val="18"/>
          <w:szCs w:val="18"/>
          <w:i w:val="1"/>
          <w:iCs w:val="1"/>
          <w:color w:val="auto"/>
        </w:rPr>
        <w:t>Gregory C. Smith</w:t>
      </w:r>
      <w:r>
        <w:rPr>
          <w:sz w:val="20"/>
          <w:szCs w:val="20"/>
          <w:color w:val="auto"/>
        </w:rPr>
        <w:tab/>
      </w:r>
      <w:r>
        <w:rPr>
          <w:rFonts w:ascii="Times New Roman" w:cs="Times New Roman" w:eastAsia="Times New Roman" w:hAnsi="Times New Roman"/>
          <w:sz w:val="18"/>
          <w:szCs w:val="18"/>
          <w:color w:val="auto"/>
        </w:rPr>
        <w:t>Age: 64</w:t>
      </w:r>
      <w:r>
        <w:rPr>
          <w:sz w:val="20"/>
          <w:szCs w:val="20"/>
          <w:color w:val="auto"/>
        </w:rPr>
        <w:tab/>
      </w:r>
      <w:r>
        <w:rPr>
          <w:rFonts w:ascii="Times New Roman" w:cs="Times New Roman" w:eastAsia="Times New Roman" w:hAnsi="Times New Roman"/>
          <w:sz w:val="16"/>
          <w:szCs w:val="16"/>
          <w:color w:val="auto"/>
        </w:rPr>
        <w:t>Lear Committees:</w:t>
      </w:r>
    </w:p>
    <w:p>
      <w:pPr>
        <w:spacing w:after="0" w:line="92"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Audit (Chair)</w:t>
      </w:r>
    </w:p>
    <w:p>
      <w:pPr>
        <w:spacing w:after="0" w:line="90"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Nominating and Corporate Governance</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1" w:lineRule="exact"/>
        <w:rPr>
          <w:sz w:val="20"/>
          <w:szCs w:val="20"/>
          <w:color w:val="auto"/>
        </w:rPr>
      </w:pPr>
    </w:p>
    <w:p>
      <w:pPr>
        <w:ind w:left="3760" w:right="20"/>
        <w:spacing w:after="0" w:line="252" w:lineRule="auto"/>
        <w:rPr>
          <w:sz w:val="20"/>
          <w:szCs w:val="20"/>
          <w:color w:val="auto"/>
        </w:rPr>
      </w:pPr>
      <w:r>
        <w:rPr>
          <w:rFonts w:ascii="Times New Roman" w:cs="Times New Roman" w:eastAsia="Times New Roman" w:hAnsi="Times New Roman"/>
          <w:sz w:val="18"/>
          <w:szCs w:val="18"/>
          <w:color w:val="auto"/>
        </w:rPr>
        <w:t>Mr. Smith has been a director of the Company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Ford Motor Company, and President and Chief Operating Officer,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Currently, Mr. Smith serves as a director of Penske Corporation and formerly served as a director of the Federal National Mortgage Association (Fannie Mae) and Solutia Inc. Mr. Smith also serves on the Risk Oversight Advisory Council of the National Association of Corporate Directors. Mr. Smith has a bachelor’s degree in Mechanical Engineering from Rose-Hulman Institute of Technology and an MBA from Eastern Michigan University.</w:t>
      </w:r>
    </w:p>
    <w:p>
      <w:pPr>
        <w:spacing w:after="0" w:line="17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960" w:hanging="198"/>
        <w:spacing w:after="0"/>
        <w:tabs>
          <w:tab w:leader="none" w:pos="3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and leadership experience, including in the automotive industry</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directorship and committee experience</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on audit committees of public and private companies</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actively overseeing finance departments and personnel</w:t>
      </w:r>
    </w:p>
    <w:p>
      <w:pPr>
        <w:spacing w:after="0" w:line="90"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and knowledge of automotive industry</w:t>
      </w:r>
    </w:p>
    <w:p>
      <w:pPr>
        <w:spacing w:after="0" w:line="90" w:lineRule="exact"/>
        <w:rPr>
          <w:rFonts w:ascii="Times New Roman" w:cs="Times New Roman" w:eastAsia="Times New Roman" w:hAnsi="Times New Roman"/>
          <w:sz w:val="18"/>
          <w:szCs w:val="18"/>
          <w:color w:val="auto"/>
        </w:rPr>
      </w:pPr>
    </w:p>
    <w:p>
      <w:pPr>
        <w:ind w:left="3980" w:hanging="218"/>
        <w:spacing w:after="0" w:line="275" w:lineRule="auto"/>
        <w:tabs>
          <w:tab w:leader="none" w:pos="39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knowledge of automotive company operations and strategic issues, including engineering, manufacturing, marketing, human resources and finance</w:t>
      </w:r>
    </w:p>
    <w:p>
      <w:pPr>
        <w:spacing w:after="0" w:line="38" w:lineRule="exact"/>
        <w:rPr>
          <w:rFonts w:ascii="Times New Roman" w:cs="Times New Roman" w:eastAsia="Times New Roman" w:hAnsi="Times New Roman"/>
          <w:sz w:val="18"/>
          <w:szCs w:val="18"/>
          <w:color w:val="auto"/>
        </w:rPr>
      </w:pPr>
    </w:p>
    <w:p>
      <w:pPr>
        <w:ind w:left="3960" w:hanging="198"/>
        <w:spacing w:after="0"/>
        <w:tabs>
          <w:tab w:leader="none" w:pos="3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3680" w:val="left"/>
        </w:tabs>
        <w:rPr>
          <w:sz w:val="20"/>
          <w:szCs w:val="20"/>
          <w:color w:val="auto"/>
        </w:rPr>
      </w:pPr>
      <w:r>
        <w:rPr>
          <w:rFonts w:ascii="Times New Roman" w:cs="Times New Roman" w:eastAsia="Times New Roman" w:hAnsi="Times New Roman"/>
          <w:sz w:val="18"/>
          <w:szCs w:val="18"/>
          <w:i w:val="1"/>
          <w:iCs w:val="1"/>
          <w:color w:val="auto"/>
        </w:rPr>
        <w:t>Henry D.G. Wallace</w:t>
      </w:r>
      <w:r>
        <w:rPr>
          <w:sz w:val="20"/>
          <w:szCs w:val="20"/>
          <w:color w:val="auto"/>
        </w:rPr>
        <w:tab/>
      </w:r>
      <w:r>
        <w:rPr>
          <w:rFonts w:ascii="Times New Roman" w:cs="Times New Roman" w:eastAsia="Times New Roman" w:hAnsi="Times New Roman"/>
          <w:sz w:val="16"/>
          <w:szCs w:val="16"/>
          <w:color w:val="auto"/>
        </w:rPr>
        <w:t>Age: 70</w:t>
      </w:r>
    </w:p>
    <w:p>
      <w:pPr>
        <w:spacing w:after="0" w:line="21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Biography</w:t>
      </w:r>
    </w:p>
    <w:p>
      <w:pPr>
        <w:spacing w:after="0" w:line="92" w:lineRule="exact"/>
        <w:rPr>
          <w:sz w:val="20"/>
          <w:szCs w:val="20"/>
          <w:color w:val="auto"/>
        </w:rPr>
      </w:pPr>
    </w:p>
    <w:p>
      <w:pPr>
        <w:ind w:left="3700"/>
        <w:spacing w:after="0" w:line="254" w:lineRule="auto"/>
        <w:rPr>
          <w:sz w:val="20"/>
          <w:szCs w:val="20"/>
          <w:color w:val="auto"/>
        </w:rPr>
      </w:pPr>
      <w:r>
        <w:rPr>
          <w:rFonts w:ascii="Times New Roman" w:cs="Times New Roman" w:eastAsia="Times New Roman" w:hAnsi="Times New Roman"/>
          <w:sz w:val="18"/>
          <w:szCs w:val="18"/>
          <w:color w:val="auto"/>
        </w:rPr>
        <w:t>Mr. Wallace has served as the Company’s Non-Executive Chairman since August 2010 and has been a director of the Company since February 2005. Mr. Wallace worked for 30 years at Ford Motor Company until his retirement in 2001 and held several executive level operations and financial oversight positions. His most recent positions included Chief Financial Officer, Ford Motor Company, and President and CEO of Mazda Motor Corporation. Mr. Wallace serves as Non-Executive Chairman of Diebold, Inc. (formerly Interim Executive Chairman). Mr. Wallace formerly served as a director of Hayes Lemmerz International, Inc. and AMBAC Financial Group, Inc. Mr. Wallace earned a bachelor’s degree with Honours from the University of Leicester, England.</w:t>
      </w:r>
    </w:p>
    <w:p>
      <w:pPr>
        <w:spacing w:after="0" w:line="17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Skills and Qualifications</w:t>
      </w:r>
    </w:p>
    <w:p>
      <w:pPr>
        <w:spacing w:after="0" w:line="92" w:lineRule="exact"/>
        <w:rPr>
          <w:sz w:val="20"/>
          <w:szCs w:val="20"/>
          <w:color w:val="auto"/>
        </w:rPr>
      </w:pPr>
    </w:p>
    <w:p>
      <w:pPr>
        <w:ind w:left="3880" w:hanging="185"/>
        <w:spacing w:after="0"/>
        <w:tabs>
          <w:tab w:leader="none" w:pos="3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leadership with a global manufacturing company</w:t>
      </w:r>
    </w:p>
    <w:p>
      <w:pPr>
        <w:spacing w:after="0" w:line="90"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on boards of several public companies</w:t>
      </w:r>
    </w:p>
    <w:p>
      <w:pPr>
        <w:spacing w:after="0" w:line="90"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international experience in Asia, Europe and Latin America</w:t>
      </w:r>
    </w:p>
    <w:p>
      <w:pPr>
        <w:spacing w:after="0" w:line="90" w:lineRule="exact"/>
        <w:rPr>
          <w:rFonts w:ascii="Times New Roman" w:cs="Times New Roman" w:eastAsia="Times New Roman" w:hAnsi="Times New Roman"/>
          <w:sz w:val="18"/>
          <w:szCs w:val="18"/>
          <w:color w:val="auto"/>
        </w:rPr>
      </w:pPr>
    </w:p>
    <w:p>
      <w:pPr>
        <w:ind w:left="3920" w:right="20" w:hanging="225"/>
        <w:spacing w:after="0" w:line="275" w:lineRule="auto"/>
        <w:tabs>
          <w:tab w:leader="none" w:pos="38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finance, financial statement preparation and accounting, financial reporting, compliance and internal controls, including as chief financial officer</w:t>
      </w:r>
    </w:p>
    <w:p>
      <w:pPr>
        <w:spacing w:after="0" w:line="38"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experience, including in the automotive industry</w:t>
      </w:r>
    </w:p>
    <w:p>
      <w:pPr>
        <w:spacing w:after="0" w:line="90" w:lineRule="exact"/>
        <w:rPr>
          <w:rFonts w:ascii="Times New Roman" w:cs="Times New Roman" w:eastAsia="Times New Roman" w:hAnsi="Times New Roman"/>
          <w:sz w:val="18"/>
          <w:szCs w:val="18"/>
          <w:color w:val="auto"/>
        </w:rPr>
      </w:pPr>
    </w:p>
    <w:p>
      <w:pPr>
        <w:ind w:left="3880" w:hanging="185"/>
        <w:spacing w:after="0"/>
        <w:tabs>
          <w:tab w:leader="none" w:pos="3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of management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Criteria for Selection of Directors</w:t>
      </w:r>
    </w:p>
    <w:p>
      <w:pPr>
        <w:spacing w:after="0" w:line="9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following are the general criteria for the selection of our directors that the Nominating Committee utilizes in evaluating candidates for Board membership. The Nominating Committee considers, without limitation, a director nominee’s independence, skills and other attributes, experience, perspective, background and diversity (which we define broadly to include differences in viewpoints, background, experience, skill, education, national origin, gender, race, age, culture and current affiliations that may offer the Company exposure to contemporary business issues and is considered in the context of the Board as a whole). These qualifications may vary from year to year, depending on the needs of the Company at the time.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general criteria set forth below are not listed in any particular order of importance:</w:t>
      </w:r>
    </w:p>
    <w:p>
      <w:pPr>
        <w:spacing w:after="0" w:line="90" w:lineRule="exact"/>
        <w:rPr>
          <w:sz w:val="20"/>
          <w:szCs w:val="20"/>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experience and record of achievement, including, without limitation, in the automotive industry;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with respect to viewpoints, background, experience, skill, education, national origin, gender, race, age, culture and current affiliations;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ethics and integrity, collegiality, objective perspective and practical judgment;</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and willingness to devote sufficient time to carry out duties and responsibilities effectively;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maximizing intrinsic stockholder value;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expertise;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 a majority of directors must be independent.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w:t>
      </w:r>
    </w:p>
    <w:p>
      <w:pPr>
        <w:spacing w:after="0" w:line="13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 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Nominating Committee screens candidates and recommends director nominees who are approved by the Board. The Nominating Committee considers candidates for Board membership suggested by its members and other Board members, as well as management and stockholders. The 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 and the composition and needs of the Board at the time. All director candidates are evaluated on the same basis. Candidates also are evaluated in light of Board policies, such as those relating to director independence and service on other boards, as well as considerations relating to the size and structure of the Board.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Directors by Stockholders</w:t>
      </w:r>
    </w:p>
    <w:p>
      <w:pPr>
        <w:spacing w:after="0" w:line="9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evaluates such candidates in the same manner by which it evaluates other director candidates considered by the Nominating Committee, as described above.</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143"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Executive Vice President, Business Development, General Counsel and Corporate Secretary.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copy of our Bylaws, as amended, has been filed as an exhibit to our Current Report on Form 8-K filed with the SEC on November 9, 2009.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These independence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Board has made director independence determinations with respect to each of our directors. Based on our director independence guidelines and the NYSE independence guidelines, the Board has affirmatively determined that (i) Messrs. Bott, Capo and Foster, Dr. Jepsen, Ms. Ligocki and Messrs. Mallett, Runkle, Smith and Wallace (A) have no relationships or only immaterial relationships with us, (B) meet our director independence guidelines and the NYSE independence guidelines with respect to any such relationships and (C) are independent; and (ii) Mr. Simoncini is not independent. Mr. Simoncini is our President and Chief Executive Officer (the “CEO”).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Company’s management continually monitors the material risks facing the Company. Our enterprise risk management process is designed to facilitate the identification, assessment and management of certain key risks the Company may encounter and which may impact our ability to achieve our strategic objectives. The enterprise risk management process supplements management’s ongoing responsibilities to monitor and address risks by working with risk owners to identify causes of and action plans for certain risks, which then are discussed with senior management.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Board, with the assistance of the Board committees, is responsible for overseeing such management actions to ensure that material risks affecting the Company are identified and managed appropriately. The Board and the Board committees oversee risks associated with their principal areas of focus, as summarized below:</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Board/Committee Areas of Risk Oversight and Actions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440" w:type="dxa"/>
            <w:vAlign w:val="bottom"/>
            <w:tcBorders>
              <w:top w:val="single" w:sz="8" w:color="auto"/>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Full Board</w:t>
            </w:r>
          </w:p>
        </w:tc>
        <w:tc>
          <w:tcPr>
            <w:tcW w:w="9000" w:type="dxa"/>
            <w:vAlign w:val="bottom"/>
            <w:tcBorders>
              <w:top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Carefully evaluates the reports received from management and makes inquiries of management on areas of particular</w:t>
            </w:r>
          </w:p>
        </w:tc>
      </w:tr>
      <w:tr>
        <w:trPr>
          <w:trHeight w:val="228"/>
        </w:trPr>
        <w:tc>
          <w:tcPr>
            <w:tcW w:w="2440" w:type="dxa"/>
            <w:vAlign w:val="bottom"/>
            <w:tcBorders>
              <w:left w:val="single" w:sz="8" w:color="auto"/>
            </w:tcBorders>
            <w:shd w:val="clear" w:color="auto" w:fill="CCEEFF"/>
          </w:tcPr>
          <w:p>
            <w:pPr>
              <w:spacing w:after="0"/>
              <w:rPr>
                <w:sz w:val="19"/>
                <w:szCs w:val="19"/>
                <w:color w:val="auto"/>
              </w:rPr>
            </w:pPr>
          </w:p>
        </w:tc>
        <w:tc>
          <w:tcPr>
            <w:tcW w:w="9000" w:type="dxa"/>
            <w:vAlign w:val="bottom"/>
            <w:tcBorders>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to the Board</w:t>
            </w:r>
          </w:p>
        </w:tc>
      </w:tr>
      <w:tr>
        <w:trPr>
          <w:trHeight w:val="297"/>
        </w:trPr>
        <w:tc>
          <w:tcPr>
            <w:tcW w:w="2440" w:type="dxa"/>
            <w:vAlign w:val="bottom"/>
            <w:tcBorders>
              <w:left w:val="single" w:sz="8" w:color="auto"/>
            </w:tcBorders>
            <w:shd w:val="clear" w:color="auto" w:fill="CCEEFF"/>
          </w:tcPr>
          <w:p>
            <w:pPr>
              <w:spacing w:after="0"/>
              <w:rPr>
                <w:sz w:val="24"/>
                <w:szCs w:val="24"/>
                <w:color w:val="auto"/>
              </w:rPr>
            </w:pPr>
          </w:p>
        </w:tc>
        <w:tc>
          <w:tcPr>
            <w:tcW w:w="900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Reviews with management material strategic, operational, financial, compensation and compliance risks</w:t>
            </w:r>
          </w:p>
        </w:tc>
      </w:tr>
      <w:tr>
        <w:trPr>
          <w:trHeight w:val="297"/>
        </w:trPr>
        <w:tc>
          <w:tcPr>
            <w:tcW w:w="2440" w:type="dxa"/>
            <w:vAlign w:val="bottom"/>
            <w:tcBorders>
              <w:left w:val="single" w:sz="8" w:color="auto"/>
            </w:tcBorders>
            <w:shd w:val="clear" w:color="auto" w:fill="CCEEFF"/>
          </w:tcPr>
          <w:p>
            <w:pPr>
              <w:spacing w:after="0"/>
              <w:rPr>
                <w:sz w:val="24"/>
                <w:szCs w:val="24"/>
                <w:color w:val="auto"/>
              </w:rPr>
            </w:pPr>
          </w:p>
        </w:tc>
        <w:tc>
          <w:tcPr>
            <w:tcW w:w="900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Considers specific risk topics in connection with strategic planning and other matters</w:t>
            </w:r>
          </w:p>
        </w:tc>
      </w:tr>
      <w:tr>
        <w:trPr>
          <w:trHeight w:val="285"/>
        </w:trPr>
        <w:tc>
          <w:tcPr>
            <w:tcW w:w="2440" w:type="dxa"/>
            <w:vAlign w:val="bottom"/>
            <w:tcBorders>
              <w:left w:val="single" w:sz="8" w:color="auto"/>
            </w:tcBorders>
            <w:shd w:val="clear" w:color="auto" w:fill="CCEEFF"/>
          </w:tcPr>
          <w:p>
            <w:pPr>
              <w:spacing w:after="0"/>
              <w:rPr>
                <w:sz w:val="24"/>
                <w:szCs w:val="24"/>
                <w:color w:val="auto"/>
              </w:rPr>
            </w:pPr>
          </w:p>
        </w:tc>
        <w:tc>
          <w:tcPr>
            <w:tcW w:w="900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Oversees risk oversight and related activities conducted by the Board committees through reports of the committee</w:t>
            </w:r>
          </w:p>
        </w:tc>
      </w:tr>
      <w:tr>
        <w:trPr>
          <w:trHeight w:val="228"/>
        </w:trPr>
        <w:tc>
          <w:tcPr>
            <w:tcW w:w="2440" w:type="dxa"/>
            <w:vAlign w:val="bottom"/>
            <w:tcBorders>
              <w:left w:val="single" w:sz="8" w:color="auto"/>
            </w:tcBorders>
            <w:shd w:val="clear" w:color="auto" w:fill="CCEEFF"/>
          </w:tcPr>
          <w:p>
            <w:pPr>
              <w:spacing w:after="0"/>
              <w:rPr>
                <w:sz w:val="19"/>
                <w:szCs w:val="19"/>
                <w:color w:val="auto"/>
              </w:rPr>
            </w:pPr>
          </w:p>
        </w:tc>
        <w:tc>
          <w:tcPr>
            <w:tcW w:w="9000" w:type="dxa"/>
            <w:vAlign w:val="bottom"/>
            <w:tcBorders>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chairmen to the Board</w:t>
            </w:r>
          </w:p>
        </w:tc>
      </w:tr>
      <w:tr>
        <w:trPr>
          <w:trHeight w:val="164"/>
        </w:trPr>
        <w:tc>
          <w:tcPr>
            <w:tcW w:w="2440" w:type="dxa"/>
            <w:vAlign w:val="bottom"/>
            <w:tcBorders>
              <w:left w:val="single" w:sz="8" w:color="auto"/>
              <w:bottom w:val="single" w:sz="8" w:color="auto"/>
            </w:tcBorders>
            <w:shd w:val="clear" w:color="auto" w:fill="CCEEFF"/>
          </w:tcPr>
          <w:p>
            <w:pPr>
              <w:spacing w:after="0"/>
              <w:rPr>
                <w:sz w:val="14"/>
                <w:szCs w:val="14"/>
                <w:color w:val="auto"/>
              </w:rPr>
            </w:pPr>
          </w:p>
        </w:tc>
        <w:tc>
          <w:tcPr>
            <w:tcW w:w="90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195"/>
        </w:trPr>
        <w:tc>
          <w:tcPr>
            <w:tcW w:w="2440" w:type="dxa"/>
            <w:vAlign w:val="bottom"/>
            <w:tcBorders>
              <w:left w:val="single" w:sz="8" w:color="auto"/>
            </w:tcBorders>
          </w:tcPr>
          <w:p>
            <w:pPr>
              <w:ind w:left="240"/>
              <w:spacing w:after="0" w:line="195" w:lineRule="exact"/>
              <w:rPr>
                <w:sz w:val="20"/>
                <w:szCs w:val="20"/>
                <w:color w:val="auto"/>
              </w:rPr>
            </w:pPr>
            <w:r>
              <w:rPr>
                <w:rFonts w:ascii="Times New Roman" w:cs="Times New Roman" w:eastAsia="Times New Roman" w:hAnsi="Times New Roman"/>
                <w:sz w:val="18"/>
                <w:szCs w:val="18"/>
                <w:b w:val="1"/>
                <w:bCs w:val="1"/>
                <w:color w:val="auto"/>
              </w:rPr>
              <w:t>Audit Committee</w:t>
            </w:r>
          </w:p>
        </w:tc>
        <w:tc>
          <w:tcPr>
            <w:tcW w:w="9000" w:type="dxa"/>
            <w:vAlign w:val="bottom"/>
            <w:tcBorders>
              <w:right w:val="single" w:sz="8" w:color="auto"/>
            </w:tcBorders>
          </w:tcPr>
          <w:p>
            <w:pPr>
              <w:ind w:left="220"/>
              <w:spacing w:after="0" w:line="195" w:lineRule="exact"/>
              <w:rPr>
                <w:sz w:val="20"/>
                <w:szCs w:val="20"/>
                <w:color w:val="auto"/>
              </w:rPr>
            </w:pPr>
            <w:r>
              <w:rPr>
                <w:rFonts w:ascii="Times New Roman" w:cs="Times New Roman" w:eastAsia="Times New Roman" w:hAnsi="Times New Roman"/>
                <w:sz w:val="18"/>
                <w:szCs w:val="18"/>
                <w:color w:val="auto"/>
              </w:rPr>
              <w:t>•  Responsible for ensuring that the Company has an internal audit function to provide management and the Audit</w:t>
            </w:r>
          </w:p>
        </w:tc>
      </w:tr>
      <w:tr>
        <w:trPr>
          <w:trHeight w:val="228"/>
        </w:trPr>
        <w:tc>
          <w:tcPr>
            <w:tcW w:w="2440" w:type="dxa"/>
            <w:vAlign w:val="bottom"/>
            <w:tcBorders>
              <w:left w:val="single" w:sz="8" w:color="auto"/>
            </w:tcBorders>
          </w:tcPr>
          <w:p>
            <w:pPr>
              <w:spacing w:after="0"/>
              <w:rPr>
                <w:sz w:val="19"/>
                <w:szCs w:val="19"/>
                <w:color w:val="auto"/>
              </w:rPr>
            </w:pPr>
          </w:p>
        </w:tc>
        <w:tc>
          <w:tcPr>
            <w:tcW w:w="90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Committee with ongoing assessments of the Company’s risk management process and system of internal controls</w:t>
            </w:r>
          </w:p>
        </w:tc>
      </w:tr>
      <w:tr>
        <w:trPr>
          <w:trHeight w:val="285"/>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Discusses with management the Company’s process for assessing and managing risks, including the Company’s major</w:t>
            </w:r>
          </w:p>
        </w:tc>
      </w:tr>
      <w:tr>
        <w:trPr>
          <w:trHeight w:val="228"/>
        </w:trPr>
        <w:tc>
          <w:tcPr>
            <w:tcW w:w="2440" w:type="dxa"/>
            <w:vAlign w:val="bottom"/>
            <w:tcBorders>
              <w:left w:val="single" w:sz="8" w:color="auto"/>
            </w:tcBorders>
          </w:tcPr>
          <w:p>
            <w:pPr>
              <w:spacing w:after="0"/>
              <w:rPr>
                <w:sz w:val="19"/>
                <w:szCs w:val="19"/>
                <w:color w:val="auto"/>
              </w:rPr>
            </w:pPr>
          </w:p>
        </w:tc>
        <w:tc>
          <w:tcPr>
            <w:tcW w:w="90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financial risk exposures and the steps necessary to monitor and control such exposures</w:t>
            </w:r>
          </w:p>
        </w:tc>
      </w:tr>
      <w:tr>
        <w:trPr>
          <w:trHeight w:val="297"/>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Central oversight of financial and compliance risks</w:t>
            </w:r>
          </w:p>
        </w:tc>
      </w:tr>
      <w:tr>
        <w:trPr>
          <w:trHeight w:val="285"/>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Meets periodically with senior management, our vice president of internal audit, our chief compliance officer and our</w:t>
            </w:r>
          </w:p>
        </w:tc>
      </w:tr>
      <w:tr>
        <w:trPr>
          <w:trHeight w:val="228"/>
        </w:trPr>
        <w:tc>
          <w:tcPr>
            <w:tcW w:w="2440" w:type="dxa"/>
            <w:vAlign w:val="bottom"/>
            <w:tcBorders>
              <w:left w:val="single" w:sz="8" w:color="auto"/>
            </w:tcBorders>
          </w:tcPr>
          <w:p>
            <w:pPr>
              <w:spacing w:after="0"/>
              <w:rPr>
                <w:sz w:val="19"/>
                <w:szCs w:val="19"/>
                <w:color w:val="auto"/>
              </w:rPr>
            </w:pPr>
          </w:p>
        </w:tc>
        <w:tc>
          <w:tcPr>
            <w:tcW w:w="90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independent auditor, Ernst &amp; Young LLP, and reports on its findings at each regularly scheduled meeting of the Board</w:t>
            </w:r>
          </w:p>
        </w:tc>
      </w:tr>
      <w:tr>
        <w:trPr>
          <w:trHeight w:val="285"/>
        </w:trPr>
        <w:tc>
          <w:tcPr>
            <w:tcW w:w="2440" w:type="dxa"/>
            <w:vAlign w:val="bottom"/>
            <w:tcBorders>
              <w:left w:val="single" w:sz="8" w:color="auto"/>
            </w:tcBorders>
          </w:tcPr>
          <w:p>
            <w:pPr>
              <w:spacing w:after="0"/>
              <w:rPr>
                <w:sz w:val="24"/>
                <w:szCs w:val="24"/>
                <w:color w:val="auto"/>
              </w:rPr>
            </w:pPr>
          </w:p>
        </w:tc>
        <w:tc>
          <w:tcPr>
            <w:tcW w:w="90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  Periodically assesses reports provided by management on risks addressed in the enterprise risk management process and</w:t>
            </w:r>
          </w:p>
        </w:tc>
      </w:tr>
      <w:tr>
        <w:trPr>
          <w:trHeight w:val="228"/>
        </w:trPr>
        <w:tc>
          <w:tcPr>
            <w:tcW w:w="2440" w:type="dxa"/>
            <w:vAlign w:val="bottom"/>
            <w:tcBorders>
              <w:left w:val="single" w:sz="8" w:color="auto"/>
            </w:tcBorders>
          </w:tcPr>
          <w:p>
            <w:pPr>
              <w:spacing w:after="0"/>
              <w:rPr>
                <w:sz w:val="19"/>
                <w:szCs w:val="19"/>
                <w:color w:val="auto"/>
              </w:rPr>
            </w:pPr>
          </w:p>
        </w:tc>
        <w:tc>
          <w:tcPr>
            <w:tcW w:w="90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risks, and reports to the Board, as appropriate</w:t>
            </w:r>
          </w:p>
        </w:tc>
      </w:tr>
      <w:tr>
        <w:trPr>
          <w:trHeight w:val="164"/>
        </w:trPr>
        <w:tc>
          <w:tcPr>
            <w:tcW w:w="2440" w:type="dxa"/>
            <w:vAlign w:val="bottom"/>
            <w:tcBorders>
              <w:left w:val="single" w:sz="8" w:color="auto"/>
              <w:bottom w:val="single" w:sz="8" w:color="auto"/>
            </w:tcBorders>
          </w:tcPr>
          <w:p>
            <w:pPr>
              <w:spacing w:after="0"/>
              <w:rPr>
                <w:sz w:val="14"/>
                <w:szCs w:val="14"/>
                <w:color w:val="auto"/>
              </w:rPr>
            </w:pPr>
          </w:p>
        </w:tc>
        <w:tc>
          <w:tcPr>
            <w:tcW w:w="9000" w:type="dxa"/>
            <w:vAlign w:val="bottom"/>
            <w:tcBorders>
              <w:bottom w:val="single" w:sz="8" w:color="auto"/>
              <w:right w:val="single" w:sz="8" w:color="auto"/>
            </w:tcBorders>
          </w:tcPr>
          <w:p>
            <w:pPr>
              <w:spacing w:after="0"/>
              <w:rPr>
                <w:sz w:val="14"/>
                <w:szCs w:val="14"/>
                <w:color w:val="auto"/>
              </w:rPr>
            </w:pPr>
          </w:p>
        </w:tc>
      </w:tr>
      <w:tr>
        <w:trPr>
          <w:trHeight w:val="195"/>
        </w:trPr>
        <w:tc>
          <w:tcPr>
            <w:tcW w:w="2440" w:type="dxa"/>
            <w:vAlign w:val="bottom"/>
            <w:tcBorders>
              <w:left w:val="single" w:sz="8" w:color="auto"/>
            </w:tcBorders>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b w:val="1"/>
                <w:bCs w:val="1"/>
                <w:color w:val="auto"/>
              </w:rPr>
              <w:t>Compensation Committee</w:t>
            </w:r>
          </w:p>
        </w:tc>
        <w:tc>
          <w:tcPr>
            <w:tcW w:w="9000" w:type="dxa"/>
            <w:vAlign w:val="bottom"/>
            <w:tcBorders>
              <w:right w:val="single" w:sz="8" w:color="auto"/>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  Oversees the review and evaluation of the risks associated with our compensation policies and practices (see also</w:t>
            </w:r>
          </w:p>
        </w:tc>
      </w:tr>
      <w:tr>
        <w:trPr>
          <w:trHeight w:val="228"/>
        </w:trPr>
        <w:tc>
          <w:tcPr>
            <w:tcW w:w="2440" w:type="dxa"/>
            <w:vAlign w:val="bottom"/>
            <w:tcBorders>
              <w:left w:val="single" w:sz="8" w:color="auto"/>
            </w:tcBorders>
            <w:shd w:val="clear" w:color="auto" w:fill="CCEEFF"/>
          </w:tcPr>
          <w:p>
            <w:pPr>
              <w:spacing w:after="0"/>
              <w:rPr>
                <w:sz w:val="19"/>
                <w:szCs w:val="19"/>
                <w:color w:val="auto"/>
              </w:rPr>
            </w:pPr>
          </w:p>
        </w:tc>
        <w:tc>
          <w:tcPr>
            <w:tcW w:w="9000" w:type="dxa"/>
            <w:vAlign w:val="bottom"/>
            <w:tcBorders>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and Risk”)</w:t>
            </w:r>
          </w:p>
        </w:tc>
      </w:tr>
      <w:tr>
        <w:trPr>
          <w:trHeight w:val="164"/>
        </w:trPr>
        <w:tc>
          <w:tcPr>
            <w:tcW w:w="2440" w:type="dxa"/>
            <w:vAlign w:val="bottom"/>
            <w:tcBorders>
              <w:left w:val="single" w:sz="8" w:color="auto"/>
              <w:bottom w:val="single" w:sz="8" w:color="auto"/>
            </w:tcBorders>
            <w:shd w:val="clear" w:color="auto" w:fill="CCEEFF"/>
          </w:tcPr>
          <w:p>
            <w:pPr>
              <w:spacing w:after="0"/>
              <w:rPr>
                <w:sz w:val="14"/>
                <w:szCs w:val="14"/>
                <w:color w:val="auto"/>
              </w:rPr>
            </w:pPr>
          </w:p>
        </w:tc>
        <w:tc>
          <w:tcPr>
            <w:tcW w:w="90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24"/>
        </w:trPr>
        <w:tc>
          <w:tcPr>
            <w:tcW w:w="24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Nominating Committee</w:t>
            </w:r>
          </w:p>
        </w:tc>
        <w:tc>
          <w:tcPr>
            <w:tcW w:w="90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Oversees risks associated with our governance structure and processes</w:t>
            </w:r>
          </w:p>
        </w:tc>
      </w:tr>
      <w:tr>
        <w:trPr>
          <w:trHeight w:val="268"/>
        </w:trPr>
        <w:tc>
          <w:tcPr>
            <w:tcW w:w="2440" w:type="dxa"/>
            <w:vAlign w:val="bottom"/>
            <w:tcBorders>
              <w:left w:val="single" w:sz="8" w:color="auto"/>
            </w:tcBorders>
          </w:tcPr>
          <w:p>
            <w:pPr>
              <w:spacing w:after="0"/>
              <w:rPr>
                <w:sz w:val="23"/>
                <w:szCs w:val="23"/>
                <w:color w:val="auto"/>
              </w:rPr>
            </w:pPr>
          </w:p>
        </w:tc>
        <w:tc>
          <w:tcPr>
            <w:tcW w:w="90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Reviews our organizational documents, Code of Business Conduct and Ethics, Corporate Governance Guidelines and</w:t>
            </w:r>
          </w:p>
        </w:tc>
      </w:tr>
      <w:tr>
        <w:trPr>
          <w:trHeight w:val="228"/>
        </w:trPr>
        <w:tc>
          <w:tcPr>
            <w:tcW w:w="2440" w:type="dxa"/>
            <w:vAlign w:val="bottom"/>
            <w:tcBorders>
              <w:left w:val="single" w:sz="8" w:color="auto"/>
            </w:tcBorders>
          </w:tcPr>
          <w:p>
            <w:pPr>
              <w:spacing w:after="0"/>
              <w:rPr>
                <w:sz w:val="19"/>
                <w:szCs w:val="19"/>
                <w:color w:val="auto"/>
              </w:rPr>
            </w:pPr>
          </w:p>
        </w:tc>
        <w:tc>
          <w:tcPr>
            <w:tcW w:w="90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policies</w:t>
            </w:r>
          </w:p>
        </w:tc>
      </w:tr>
      <w:tr>
        <w:trPr>
          <w:trHeight w:val="164"/>
        </w:trPr>
        <w:tc>
          <w:tcPr>
            <w:tcW w:w="2440" w:type="dxa"/>
            <w:vAlign w:val="bottom"/>
            <w:tcBorders>
              <w:left w:val="single" w:sz="8" w:color="auto"/>
              <w:bottom w:val="single" w:sz="8" w:color="auto"/>
            </w:tcBorders>
          </w:tcPr>
          <w:p>
            <w:pPr>
              <w:spacing w:after="0"/>
              <w:rPr>
                <w:sz w:val="14"/>
                <w:szCs w:val="14"/>
                <w:color w:val="auto"/>
              </w:rPr>
            </w:pPr>
          </w:p>
        </w:tc>
        <w:tc>
          <w:tcPr>
            <w:tcW w:w="9000" w:type="dxa"/>
            <w:vAlign w:val="bottom"/>
            <w:tcBorders>
              <w:bottom w:val="single" w:sz="8" w:color="auto"/>
              <w:right w:val="single" w:sz="8" w:color="auto"/>
            </w:tcBorders>
          </w:tcPr>
          <w:p>
            <w:pPr>
              <w:spacing w:after="0"/>
              <w:rPr>
                <w:sz w:val="14"/>
                <w:szCs w:val="14"/>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40"/>
          </w:cols>
          <w:pgMar w:left="240" w:top="455" w:right="2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Board Information</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of the Board</w:t>
      </w:r>
    </w:p>
    <w:p>
      <w:pPr>
        <w:spacing w:after="0" w:line="94"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Henry D. G. Wallace is our Non-Executive Chairman of the Board and has served in that role since August 2010. Our Board has decided to maintain separate Chairman and CEO roles to allow our CEO to focus on the execution of our business strategy, growth and development, while allowing the Non-Executive Chairman to lead the Board in its fundamental role of providing advice to, and independent oversight of, management. The Board recognizes the time, effort and energy that the CEO is required to devote to his position in the current business environment, as well as the commitment required to serve as our Chairman. While our Bylaws and Corporate Governance Guidelines do not require that our Chairman and CEO positions be separate, the Board believes that having separate positions and having an independent director serve as Non-Executive Chairman is the appropriate leadership structure for us at this time.</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2015, our Board held 7 meetings. In addition to our Board meetings, our directors attend meetings of committees established by our Board. Each of Lear’s director nominees attended at least 75% of the meetings of our Board and the committees on which he or she served during 2015 that were held when he or she was a director. Our directors are encouraged to attend all annual and special meetings of our stockholders. In 2015, our annual meeting of stockholders was held on May 14, 2015, and all directors attended (either in person or telephonically) with the exception of Dr. Jepsen, who was not appointed to the Board until March 2016.</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Meetings of Non-Employee Directors</w:t>
      </w:r>
    </w:p>
    <w:p>
      <w:pPr>
        <w:spacing w:after="0" w:line="9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our Corporate Governance Guidelines and the listing standards of the NYSE, our non-employee directors meet regularly in executive sessions of the Board without management present. Mr. Wallace, our Non-Executive Chairman, presides over these executive sessions.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Board has three standing committees: the Audit Committee, the Compensation Committee and the Nominating Committee. The following chart sets forth the directors who currently serve as members of each of the Board committees.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Directors</w:t>
            </w:r>
          </w:p>
        </w:tc>
        <w:tc>
          <w:tcPr>
            <w:tcW w:w="3580" w:type="dxa"/>
            <w:vAlign w:val="bottom"/>
            <w:gridSpan w:val="2"/>
            <w:vMerge w:val="restart"/>
          </w:tcPr>
          <w:p>
            <w:pPr>
              <w:spacing w:after="0"/>
              <w:rPr>
                <w:sz w:val="13"/>
                <w:szCs w:val="13"/>
                <w:color w:val="auto"/>
              </w:rPr>
            </w:pPr>
          </w:p>
        </w:tc>
        <w:tc>
          <w:tcPr>
            <w:tcW w:w="2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580" w:type="dxa"/>
            <w:vAlign w:val="bottom"/>
            <w:gridSpan w:val="2"/>
            <w:vMerge w:val="continue"/>
          </w:tcPr>
          <w:p>
            <w:pPr>
              <w:spacing w:after="0"/>
              <w:rPr>
                <w:sz w:val="14"/>
                <w:szCs w:val="14"/>
                <w:color w:val="auto"/>
              </w:rPr>
            </w:pPr>
          </w:p>
        </w:tc>
        <w:tc>
          <w:tcPr>
            <w:tcW w:w="2980" w:type="dxa"/>
            <w:vAlign w:val="bottom"/>
          </w:tcPr>
          <w:p>
            <w:pPr>
              <w:spacing w:after="0"/>
              <w:rPr>
                <w:sz w:val="14"/>
                <w:szCs w:val="14"/>
                <w:color w:val="auto"/>
              </w:rPr>
            </w:pPr>
          </w:p>
        </w:tc>
        <w:tc>
          <w:tcPr>
            <w:tcW w:w="110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Audit Committee</w:t>
            </w:r>
          </w:p>
        </w:tc>
        <w:tc>
          <w:tcPr>
            <w:tcW w:w="92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Committee</w:t>
            </w:r>
          </w:p>
        </w:tc>
        <w:tc>
          <w:tcPr>
            <w:tcW w:w="13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Nominating Committee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Richard H. Bott</w:t>
            </w:r>
          </w:p>
        </w:tc>
        <w:tc>
          <w:tcPr>
            <w:tcW w:w="29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X</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P. Capo</w:t>
            </w:r>
          </w:p>
        </w:tc>
        <w:tc>
          <w:tcPr>
            <w:tcW w:w="29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F. Foster</w:t>
            </w:r>
          </w:p>
        </w:tc>
        <w:tc>
          <w:tcPr>
            <w:tcW w:w="29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Mary Lou Jepsen</w:t>
            </w:r>
          </w:p>
        </w:tc>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A. Ligocki</w:t>
            </w:r>
          </w:p>
        </w:tc>
        <w:tc>
          <w:tcPr>
            <w:tcW w:w="2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Conrad L. Mallett, Jr.</w:t>
            </w:r>
          </w:p>
        </w:tc>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L. Runkle</w:t>
            </w:r>
          </w:p>
        </w:tc>
        <w:tc>
          <w:tcPr>
            <w:tcW w:w="2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C. Smith</w:t>
            </w:r>
          </w:p>
        </w:tc>
        <w:tc>
          <w:tcPr>
            <w:tcW w:w="29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2"/>
              </w:rPr>
              <w:t>C</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Henry D.G. Wallace*</w:t>
            </w:r>
          </w:p>
        </w:tc>
        <w:tc>
          <w:tcPr>
            <w:tcW w:w="298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0"/>
              </w:rPr>
              <w:t>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w:t>
            </w:r>
          </w:p>
        </w:tc>
        <w:tc>
          <w:tcPr>
            <w:tcW w:w="0" w:type="dxa"/>
            <w:vAlign w:val="bottom"/>
          </w:tcPr>
          <w:p>
            <w:pPr>
              <w:spacing w:after="0"/>
              <w:rPr>
                <w:sz w:val="1"/>
                <w:szCs w:val="1"/>
                <w:color w:val="auto"/>
              </w:rPr>
            </w:pPr>
          </w:p>
        </w:tc>
      </w:tr>
      <w:tr>
        <w:trPr>
          <w:trHeight w:val="96"/>
        </w:trPr>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34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88"/>
              </w:rPr>
              <w:t>*</w:t>
            </w:r>
          </w:p>
        </w:tc>
        <w:tc>
          <w:tcPr>
            <w:tcW w:w="4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Chairman of the Board</w:t>
            </w:r>
          </w:p>
        </w:tc>
        <w:tc>
          <w:tcPr>
            <w:tcW w:w="2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“C”</w:t>
            </w:r>
          </w:p>
        </w:tc>
        <w:tc>
          <w:tcPr>
            <w:tcW w:w="4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Denotes member and chairman of committee</w:t>
            </w:r>
          </w:p>
        </w:tc>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4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Denotes member</w:t>
            </w:r>
          </w:p>
        </w:tc>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“E”</w:t>
            </w:r>
          </w:p>
        </w:tc>
        <w:tc>
          <w:tcPr>
            <w:tcW w:w="4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Denotes Ex Officio member</w:t>
            </w:r>
          </w:p>
        </w:tc>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980" w:type="dxa"/>
            <w:vAlign w:val="bottom"/>
          </w:tcPr>
          <w:p>
            <w:pPr>
              <w:jc w:val="right"/>
              <w:ind w:right="1632"/>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Audit Committee</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2015, the Audit Committee held 8 meetings. Each of the members of the Audit Committee is a non-employee director. In addition, the Board has determined that all of the members of the Audit Committee are independent, financially literate and financial experts, as further discussed under “Audit Committee Report.” For a description of the Audit Committee’s responsibilities and findings and additional information about the Audit Committee, see “Audit Committee Report.”</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Committee</w:t>
      </w:r>
    </w:p>
    <w:p>
      <w:pPr>
        <w:spacing w:after="0" w:line="92"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2015, the Compensation Committee held 4 meetings. Each of the members of the Compensation Committee is a non-employee director. In addition, the Board has determined that all of the members of the Compensation Committee are independent as defined in the listing standards of the NYSE, including the independence standards applicable to compensation committees.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utilizes an independent compensation consultant to assist it in its duties. The Compensation Committee operates under a written charter setting forth its functions and responsibilities. A copy of the current charter is available on our website at www.lear.com or in printed form upon request.</w:t>
      </w:r>
    </w:p>
    <w:p>
      <w:pPr>
        <w:spacing w:after="0" w:line="14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 awards. Under our equity award policy, an aggregate equity award pool to non-executive officers may be approved by the Compensation Committee and allocated to individuals by the Company’s CEO. The policy also allows the Compensation Committee to delegate to the CEO the ability to grant equity awards to non-executive officer employees who are newly hired or promoted or deemed to be deserving of special retention or recognition awards.</w:t>
      </w:r>
    </w:p>
    <w:p>
      <w:pPr>
        <w:spacing w:after="0" w:line="139"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8"/>
          <w:szCs w:val="18"/>
          <w:color w:val="auto"/>
        </w:rPr>
        <w:t>The Compensation Committee utilizes Pay Governance LLC (“Pay Governance”) as its independent compensation consultant. The consultant reports directly to the Compensation Committee,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Compensation Committee or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980" w:firstLine="456"/>
        <w:spacing w:after="0" w:line="339" w:lineRule="auto"/>
        <w:rPr>
          <w:sz w:val="20"/>
          <w:szCs w:val="20"/>
          <w:color w:val="auto"/>
        </w:rPr>
      </w:pPr>
      <w:r>
        <w:rPr>
          <w:rFonts w:ascii="Times New Roman" w:cs="Times New Roman" w:eastAsia="Times New Roman" w:hAnsi="Times New Roman"/>
          <w:sz w:val="16"/>
          <w:szCs w:val="16"/>
          <w:color w:val="auto"/>
        </w:rPr>
        <w:t>The Compensation Committee has reviewed the independence of Pay Governance in light of SEC rules and NYSE listing standards regarding compensation consultants and has concluded that Pay Governance’s work for the Compensation Committee does not raise any conflict of interest.</w:t>
      </w:r>
    </w:p>
    <w:p>
      <w:pPr>
        <w:spacing w:after="0" w:line="7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2015, the Company’s management retained Frederic W. Cook &amp; Co., Inc. to assist in the review of various executive compensation programs. The Company and the Compensation Committee reviewed the engagement of the management consultant under the SEC disclosure rules and found that no conflicts of interest existed with respect to such engagement.</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Nominating Committee</w:t>
      </w:r>
    </w:p>
    <w:p>
      <w:pPr>
        <w:spacing w:after="0" w:line="92" w:lineRule="exact"/>
        <w:rPr>
          <w:sz w:val="20"/>
          <w:szCs w:val="20"/>
          <w:color w:val="auto"/>
        </w:rPr>
      </w:pPr>
    </w:p>
    <w:p>
      <w:pPr>
        <w:ind w:right="460" w:firstLine="456"/>
        <w:spacing w:after="0" w:line="339" w:lineRule="auto"/>
        <w:rPr>
          <w:sz w:val="20"/>
          <w:szCs w:val="20"/>
          <w:color w:val="auto"/>
        </w:rPr>
      </w:pPr>
      <w:r>
        <w:rPr>
          <w:rFonts w:ascii="Times New Roman" w:cs="Times New Roman" w:eastAsia="Times New Roman" w:hAnsi="Times New Roman"/>
          <w:sz w:val="16"/>
          <w:szCs w:val="16"/>
          <w:color w:val="auto"/>
        </w:rPr>
        <w:t>In 2015, the Nominating Committee held 4 meetings. Each of the members of the Nominating Committee is a non-employee director. In addition, the Board has determined that all of the members of the Nominating Committee are independent as defined in the listing standards of the NYSE.</w:t>
      </w:r>
    </w:p>
    <w:p>
      <w:pPr>
        <w:spacing w:after="0" w:line="74" w:lineRule="exact"/>
        <w:rPr>
          <w:sz w:val="20"/>
          <w:szCs w:val="20"/>
          <w:color w:val="auto"/>
        </w:rPr>
      </w:pPr>
    </w:p>
    <w:p>
      <w:pPr>
        <w:ind w:right="200" w:firstLine="456"/>
        <w:spacing w:after="0" w:line="289" w:lineRule="auto"/>
        <w:rPr>
          <w:sz w:val="20"/>
          <w:szCs w:val="20"/>
          <w:color w:val="auto"/>
        </w:rPr>
      </w:pPr>
      <w:r>
        <w:rPr>
          <w:rFonts w:ascii="Times New Roman" w:cs="Times New Roman" w:eastAsia="Times New Roman" w:hAnsi="Times New Roman"/>
          <w:sz w:val="16"/>
          <w:szCs w:val="16"/>
          <w:color w:val="auto"/>
        </w:rPr>
        <w:t>The Nominating Committee is responsible for, among other things: (i) identifying individuals qualified to become members of the Board, consistent with criteria approved by the Board; (ii) recommending director nominees to the Board for election at the next annual meeting of the stockholders of the Company;</w:t>
      </w:r>
    </w:p>
    <w:p>
      <w:pPr>
        <w:spacing w:after="0" w:line="1" w:lineRule="exact"/>
        <w:rPr>
          <w:sz w:val="20"/>
          <w:szCs w:val="20"/>
          <w:color w:val="auto"/>
        </w:rPr>
      </w:pPr>
    </w:p>
    <w:p>
      <w:pPr>
        <w:ind w:right="60" w:firstLine="8"/>
        <w:spacing w:after="0" w:line="253" w:lineRule="auto"/>
        <w:tabs>
          <w:tab w:leader="none" w:pos="3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vacancy on or an increase in the size of the Board, recommending director nominees to the Board to fill such vacancy or newly established Board seat; (iv) recommending directors to the Board for membership on each committee of the Board; (v) establishing and reviewing annually our Corporate Governance Guidelines and Code of Business Conduct and Ethics; and (vi) reviewing potential conflicts of interest involving our executive officers. The Nominating Committee operates under a written charter setting forth its functions and responsibilities. A copy of the current charter is available on our website at www.lear.com or in printed form upon request.</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to the Board</w:t>
      </w:r>
    </w:p>
    <w:p>
      <w:pPr>
        <w:spacing w:after="0" w:line="9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Terrence B. Larkin, Executive Vice President, Business Development,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11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Legal Proceedings</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Mr. Simoncini currently serves as the Company’s President and CEO and has served in other positions at the Company since 1999, as described above. In 2009, the Company filed for reorganization under chapter 11 of the Bankruptcy Code.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annual compensation for our non-employee directors during 2015. A summary of the director compensation program and elements is presented after the table below.</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2015 Director Compensation</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20" w:type="dxa"/>
            <w:vAlign w:val="bottom"/>
            <w:vMerge w:val="restart"/>
          </w:tcPr>
          <w:p>
            <w:pPr>
              <w:spacing w:after="0"/>
              <w:rPr>
                <w:sz w:val="13"/>
                <w:szCs w:val="1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in Cash(1)(2)</w:t>
            </w:r>
          </w:p>
        </w:tc>
        <w:tc>
          <w:tcPr>
            <w:tcW w:w="202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Stock Awards(3)(4)</w:t>
            </w:r>
          </w:p>
        </w:tc>
        <w:tc>
          <w:tcPr>
            <w:tcW w:w="76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Richard H. Bott</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w:t>
            </w: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139,960</w:t>
            </w:r>
          </w:p>
        </w:tc>
        <w:tc>
          <w:tcPr>
            <w:tcW w:w="9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$249,960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Capo(5)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128,333</w:t>
            </w:r>
          </w:p>
        </w:tc>
        <w:tc>
          <w:tcPr>
            <w:tcW w:w="9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139,960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$268,293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F. Foster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139,960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$262,460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A. Ligocki</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9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139,960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Conrad L. Mallett, Jr.(5)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113,333</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139,960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$253,293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L. Runkle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9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139,960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C. Smith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139,960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$269,960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D.G. Wallace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9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239,981</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$424,981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retainer and other fees earned for service as directors in 2015. The base annual cash retainer is $110,000, and as described below, there is an additional cash retainer for the Non-Executive Chairman and the Chairman of each of the Audit Committee, Compensation Committee and the Nominating Committee. Our directors received no non-standing committee meeting fees in 2015.</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Ligocki deferred $110,000 of the 2015 retainer fees, and Mr. Wallace deferred $169,583 of the 2015 retainer fees.</w:t>
      </w:r>
    </w:p>
    <w:p>
      <w:pPr>
        <w:spacing w:after="0" w:line="90" w:lineRule="exact"/>
        <w:rPr>
          <w:rFonts w:ascii="Times New Roman" w:cs="Times New Roman" w:eastAsia="Times New Roman" w:hAnsi="Times New Roman"/>
          <w:sz w:val="18"/>
          <w:szCs w:val="18"/>
          <w:color w:val="auto"/>
        </w:rPr>
      </w:pPr>
    </w:p>
    <w:p>
      <w:pPr>
        <w:jc w:val="both"/>
        <w:ind w:left="460" w:right="260" w:hanging="452"/>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annual grant of stock, the amounts reported in this column for each director reflect the aggregate grant date fair value determined in accordance with FASB Accounting Standards Codification™ (“ASC”) 718, “Compensation-Stock Compensation.” Messrs. Bott, Capo, Foster, Runkle and Wallace along with Ms. Ligocki deferred 100% of the 2015 annual stock grant into deferred stock units.</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Mallett deferred 71% of the 2015 annual stock grant into deferred stock units.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Mallett resigned from his position as Chairman of the Compensation Committee in February 2015, and Mr. Capo assumed the position.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2015 Director Compensation</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In order to attract and retain highly qualified directors to represent stockholders, our philosophy is to set compensation to be within a competitive range of non-employee director pay at comparable companies. At least every two years, the independent compensation consultant presents an analysis of director pay levels among our Comparator Group (described in “Compensation Discussion and Analysis — Benchmarking” below) and a broader set of large companies. The most recent competitive pay study was completed in November 2015. As noted below, changes, effective for 2016, were made to the director pay program based on consideration of the pay philosophy, results of the recent market pay analysis, recognition that the last time pay was changed was effective for 2014 and other factors. Based on the most recent benchmarking analysis, the director compensation is near the market median level within the Comparator Group.</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Annual Cash Retainer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base annual cash retainer for each non-employee director under the Outside Directors Compensation Plan is $110,000. The additional cash retainer for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chairs of the Compensation Committee and the Audit Committee is $20,000, the additional cash retainer for the chair of the Nominating Committee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$12,500 (increased to $15,000 beginning in 2016) and the additional cash retainer for the Presiding Director, if any, is $10,000. The annual cash retainer for each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non-employee director is paid in advance in equal installments on the last business day of the month. Because the Company has an independent Non-Executive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there currently is no Presiding Director.</w:t>
      </w:r>
    </w:p>
    <w:p>
      <w:pPr>
        <w:spacing w:after="0" w:line="159"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Meeting fees for the Board and standing committees have been eliminated, except that each non-employee director remained eligible to receive $1,500 for each meeting of the Board in excess of twelve that he/she attends in a calendar year. Meeting fees for special committees of the Board are set by the Board at the time of the formation of the special committee and usually are set at the rate of $1,000 per meeting. Meeting fees, if any, are paid on the last business day of the month (for that month’s meeting fees).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Pursuant to the Outside Directors Compensation Plan, each non-employee director received a base annual unrestricted grant of Lear common stock approximately equal in value to $140,000 (increased to $150,000 beginning in 2016) and subject to the stock ownership guidelines described below. Stock grants are made on the date of the annual meeting of stockholders at which a director is elected or re-elected to serve on the Board. In connection with her appointment in March 2016, Dr. Jepsen received a pro rata stock grant based on the number of months of her service between the 2015 and 2016 annual meetings.</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Non-Executive Chairman Compensation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additional compensation for our Non-Executive Chairman, currently Mr. Wallace, in 2015 was an additional annual cash retainer in the amount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$75,000 and an additional annual grant of Lear common stock equal in value to $100,000 (increased to $110,000 beginning in 2016). The payment schedule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additional annual compensation is the same as that described above.</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Deferrals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stock retainer into deferred stock units.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amounts deferred are paid to a non-employee director as of the earliest of:</w:t>
      </w:r>
    </w:p>
    <w:p>
      <w:pPr>
        <w:spacing w:after="0" w:line="90" w:lineRule="exact"/>
        <w:rPr>
          <w:sz w:val="20"/>
          <w:szCs w:val="20"/>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elected by such director;</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director ceases to be a director; or</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change of control (as defined in the Outside Directors Compensation Plan) occurs.</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Retainer, meeting fees and restricted cash amounts that are deferred are paid in cash in a single sum payment or, at the director’s election, in installments. Amounts of the stock grant that are deferred are paid in the form of shares of common stock in a lump sum or installments in accordance with the director’s election.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 has a long-standing practice of having stock ownership guidelines for non-employee directors. Each non-employee director must achieve a stock ownership level of a number of shares with a value</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455" w:right="3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equal to five times the base annual cash retainer and, beginning in 2014, must hold 50% of the net shares from their annual stock grants received until they are in compliance with these guidelines. As of our latest measurement date as of December 31, 2015, all of our non-employee directors have met the required ownership guideline level.</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Directors who are also our employees receive no compensation for their services as directors except reimbursement of expenses incurred in attending meetings of our Board or Board committees.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Directors and Management</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March 24, 2016 (except as indicated below), beneficial ownership, as defined by SEC rules, of our common stock and ownership of RSUs by the persons or groups specified. Each of the persons listed below has sole voting and investment power with respect to the beneficially owned shares listed unless otherwise indicated. The percentage calculations set forth in the table are based on 73,371,256 shares of common stock outstanding on March 24, 2016 rather than based on the percentages set forth in stockholders’ Schedules 13G or 13D, as applicable, filed with the SEC.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6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6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6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149"/>
        </w:trPr>
        <w:tc>
          <w:tcPr>
            <w:tcW w:w="86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r>
      <w:tr>
        <w:trPr>
          <w:trHeight w:val="165"/>
        </w:trPr>
        <w:tc>
          <w:tcPr>
            <w:tcW w:w="86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Beneficially</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Owned(13)</w:t>
            </w:r>
          </w:p>
        </w:tc>
      </w:tr>
      <w:tr>
        <w:trPr>
          <w:trHeight w:val="196"/>
        </w:trPr>
        <w:tc>
          <w:tcPr>
            <w:tcW w:w="8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Beneficial Owners:</w:t>
            </w: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7,780,099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Group(2)</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5,152,357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Boston Partners(3)</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4,157,347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Matthew J. Simoncini(4)(5)</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42,341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87,054</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H. Vanneste(4)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12,869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Raymond E. Scott(4)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28,618</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Terrence B. Larkin(4)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9,081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28,618</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Frank Orsini(4)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12,162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 Bott(5)(6)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Thomas P. Capo(5)(7)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11,484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F. Foster(5)(8)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Mary Lou Jepsen(5)</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A. Ligocki(5)(9)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Conrad L. Mallett, Jr.(5)(10)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L. Runkle(5)(11)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Gregory C. Smith(5)</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12,491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Henry D.G. Wallace(5)(12)</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Total Executive Officers and Directors as a Group (19 individuals)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242,088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261,106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90" w:lineRule="exact"/>
        <w:rPr>
          <w:sz w:val="20"/>
          <w:szCs w:val="20"/>
          <w:color w:val="auto"/>
        </w:rPr>
      </w:pPr>
    </w:p>
    <w:p>
      <w:pPr>
        <w:ind w:left="460" w:right="240" w:hanging="452"/>
        <w:spacing w:after="0" w:line="256"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table above and this footnote is based on a report on Schedule 13G/A filed with the SEC on January 8, 2016 by BlackRock, Inc. (“BlackRock”). BlackRock is the beneficial owner of 7,780,099 shares, with sole dispositive power as to all such shares and sole voting power as to 6,974,474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55 East 52nd Street, New York, New York 10055.</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40" w:hanging="452"/>
        <w:spacing w:after="0" w:line="258"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table above and this footnote is based on a report on Schedule 13G/A filed with the SEC on February 10, 2016 by The Vanguard Group (“Vanguard”). Vanguard is the beneficial owner of 5,152,357 shares, with sole voting power as to 74,025 such shares, sole dispositive power as to 5,073,032 such shares and shared dispositive power as to 79,325 such shares. Vanguard’s principal place of business is 100 Vanguard Blvd., Malvern, PA 19355.</w:t>
      </w:r>
    </w:p>
    <w:p>
      <w:pPr>
        <w:spacing w:after="0" w:line="55"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table above and this footnote is based on a report on Schedule 13G/A filed with the SEC on February 11, 2016 by Boston Partners (f/k/a Robeco Investment Management, Inc.). Boston Partners is the beneficial owner of 4,157,347 shares, with sole dispositive power as to all such shares, with sole voting power as to 3,385,842 such shares and with shared voting power as to 11,190 such shares. No one person’s interest in the Company’s common stock is more than five percent of the total outstanding common stock. Boston Partners’ principal place of business is One Beacon St., Boston, MA 02108.</w:t>
      </w:r>
    </w:p>
    <w:p>
      <w:pPr>
        <w:spacing w:after="0" w:line="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is a Named Executive Officer.</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is a director.</w:t>
      </w:r>
    </w:p>
    <w:p>
      <w:pPr>
        <w:spacing w:after="0" w:line="90"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4,063 deferred stock units, which are fully vested and convert into shares of common stock on a 1-for-1 basis upon the earliest of the director’s departure from the Board, a change in control or the pre-established date elected by the director.</w:t>
      </w:r>
    </w:p>
    <w:p>
      <w:pPr>
        <w:spacing w:after="0" w:line="38"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8,239 deferred stock units, which are fully vested and convert into shares of common stock on a 1-for-1 basis upon the earliest of the director’s departure from the Board, a change in control or the pre-established date elected by the director.</w:t>
      </w:r>
    </w:p>
    <w:p>
      <w:pPr>
        <w:spacing w:after="0" w:line="38"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6,590 deferred stock units, which are fully vested and convert into shares of common stock on a 1-for-1 basis upon the earliest of the director’s departure from the Board, a change in control or the pre-established date elected by the director.</w:t>
      </w:r>
    </w:p>
    <w:p>
      <w:pPr>
        <w:spacing w:after="0" w:line="38"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7,173 deferred stock units, which are fully vested and convert into shares of common stock on a 1-for-1 basis upon the earliest of the director’s departure from the Board, a change in control or the pre-established date elected by the director.</w:t>
      </w:r>
    </w:p>
    <w:p>
      <w:pPr>
        <w:spacing w:after="0" w:line="38"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4,923 deferred stock units, which are fully vested and convert into shares of common stock on a 1-for-1 basis upon the earliest of the director’s departure from the Board, a change in control or the pre-established date elected by the director.</w:t>
      </w:r>
    </w:p>
    <w:p>
      <w:pPr>
        <w:spacing w:after="0" w:line="38"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5,041 deferred stock units, which are fully vested and convert into shares of common stock on a 1-for-1 basis upon the earliest of the director’s departure from the Board, a change in control or the pre-established date elected by the director.</w:t>
      </w:r>
    </w:p>
    <w:p>
      <w:pPr>
        <w:spacing w:after="0" w:line="38"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13,697 deferred stock units, which are fully vested and convert into shares of common stock on a 1-for-1 basis upon the earliest of the director’s departure from the Board, a change in control or the pre-established date elected by the director.</w:t>
      </w:r>
    </w:p>
    <w:p>
      <w:pPr>
        <w:spacing w:after="0" w:line="38" w:lineRule="exact"/>
        <w:rPr>
          <w:rFonts w:ascii="Times New Roman" w:cs="Times New Roman" w:eastAsia="Times New Roman" w:hAnsi="Times New Roman"/>
          <w:sz w:val="18"/>
          <w:szCs w:val="18"/>
          <w:color w:val="auto"/>
        </w:rPr>
      </w:pPr>
    </w:p>
    <w:p>
      <w:pPr>
        <w:ind w:left="460" w:right="8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RSUs owned by our executive officers as of March 24, 2016. These RSUs are subject to all of the economic risks of stock ownership but may not be voted or sold and are subject to vesting provisions as set forth in the respective grant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2015.</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3"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The following discusses the material elements of the compensation for our Chief Executive Officer (CEO), Chief Financial Officer (CFO) and each of the other executive officers listed in the “2015 Summary Compensation Table” (collectively, the “Named Executive Officers”) during the year ended December 31, 2015. To assist in understanding compensation for 2015, we have included a discussion of our compensation policies and practices for periods before and after 2015 where relevant. To avoid repetition, in the discussion that follows we make cross-references to specific compensation data and terms for our Named Executive Officers contained in “Executive Compensation.” In addition, because we have a global team of managers in 36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for 2015 are:</w:t>
      </w:r>
    </w:p>
    <w:p>
      <w:pPr>
        <w:spacing w:after="0" w:line="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Matthew J. Simoncini, </w:t>
      </w: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Jeffrey H. Vanneste, </w:t>
      </w:r>
      <w:r>
        <w:rPr>
          <w:rFonts w:ascii="Times New Roman" w:cs="Times New Roman" w:eastAsia="Times New Roman" w:hAnsi="Times New Roman"/>
          <w:sz w:val="18"/>
          <w:szCs w:val="18"/>
          <w:color w:val="auto"/>
        </w:rPr>
        <w:t>Senior Vice President and Chief Financial Officer</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Raymond E. Scott, </w:t>
      </w:r>
      <w:r>
        <w:rPr>
          <w:rFonts w:ascii="Times New Roman" w:cs="Times New Roman" w:eastAsia="Times New Roman" w:hAnsi="Times New Roman"/>
          <w:sz w:val="18"/>
          <w:szCs w:val="18"/>
          <w:color w:val="auto"/>
        </w:rPr>
        <w:t>Executive Vice President and President, Seating</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Terrence B. Larkin, </w:t>
      </w:r>
      <w:r>
        <w:rPr>
          <w:rFonts w:ascii="Times New Roman" w:cs="Times New Roman" w:eastAsia="Times New Roman" w:hAnsi="Times New Roman"/>
          <w:sz w:val="18"/>
          <w:szCs w:val="18"/>
          <w:color w:val="auto"/>
        </w:rPr>
        <w:t>Executive Vice President, Business Development, General Counsel and Corporate Secretary</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Frank C. Orsini, </w:t>
      </w:r>
      <w:r>
        <w:rPr>
          <w:rFonts w:ascii="Times New Roman" w:cs="Times New Roman" w:eastAsia="Times New Roman" w:hAnsi="Times New Roman"/>
          <w:sz w:val="18"/>
          <w:szCs w:val="18"/>
          <w:color w:val="auto"/>
        </w:rPr>
        <w:t>Senior Vice President and President, Electrical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We are a leading Tier 1 supplier to the global automotive industry that operates in two business segments: Seating and Electrical. We supply seating, electrical distribution systems and electronic modules, as well as related sub-systems, components and software, to virtually every major automotive manufacturer in the world. Our manufacturing, engineering and administrative footprint covers 36 countries and 240 locations with approximately 136,000 employees worldwide. We are continuing to grow our business in all automotive producing regions of the world, both organically and through complementary acquisitions. We have an executive compensation program that is, on average, market-median based, and which is closely linked to our Company’s performance.</w:t>
      </w:r>
    </w:p>
    <w:p>
      <w:pPr>
        <w:spacing w:after="0" w:line="108"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Our overarching objective is to maximize shareholder value by delivering profitable sales growth while balancing risk and returns, maintaining a strong balance sheet with investment grade credit metrics and consistently returning cash to our shareholders.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Highlights of our 2015 performance and recent significant events include the following:</w:t>
      </w:r>
    </w:p>
    <w:p>
      <w:pPr>
        <w:spacing w:after="0" w:line="90" w:lineRule="exact"/>
        <w:rPr>
          <w:sz w:val="20"/>
          <w:szCs w:val="20"/>
          <w:color w:val="auto"/>
        </w:rPr>
      </w:pPr>
    </w:p>
    <w:p>
      <w:pPr>
        <w:ind w:left="660" w:right="540" w:hanging="206"/>
        <w:spacing w:after="0" w:line="27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continued to grow sales faster than the rate of global industry production (annual sales increased 3% to $18.2 billion, versus industry production growth of 2%). Excluding the impact of foreign exchange, sales increased by 11%.</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record core operating earnings of $1.3 billion, an increase of 25% (see discussion of Adjusted Operating Income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record adjusted earnings per share of $10.85, an increase of 33%.*</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improved operating margins compared to 2014 in both business segments.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a 6</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consecutive year of increased sales and adjusted earnings per share.*</w:t>
      </w:r>
    </w:p>
    <w:p>
      <w:pPr>
        <w:spacing w:after="0" w:line="90" w:lineRule="exact"/>
        <w:rPr>
          <w:rFonts w:ascii="Times New Roman" w:cs="Times New Roman" w:eastAsia="Times New Roman" w:hAnsi="Times New Roman"/>
          <w:sz w:val="18"/>
          <w:szCs w:val="18"/>
          <w:color w:val="auto"/>
        </w:rPr>
      </w:pPr>
    </w:p>
    <w:p>
      <w:pPr>
        <w:ind w:left="660" w:right="120" w:hanging="206"/>
        <w:spacing w:after="0" w:line="275"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$831 million in free cash flow in 2015 and approximately $2.9 billion in free cash flow over the past six years, allowing the Company to increase investments in the business, make strategic acquisitions and consistently return cash to stockholders.</w:t>
      </w:r>
    </w:p>
    <w:p>
      <w:pPr>
        <w:spacing w:after="0" w:line="38" w:lineRule="exact"/>
        <w:rPr>
          <w:rFonts w:ascii="Times New Roman" w:cs="Times New Roman" w:eastAsia="Times New Roman" w:hAnsi="Times New Roman"/>
          <w:sz w:val="18"/>
          <w:szCs w:val="18"/>
          <w:color w:val="auto"/>
        </w:rPr>
      </w:pPr>
    </w:p>
    <w:p>
      <w:pPr>
        <w:ind w:left="660" w:right="540" w:hanging="206"/>
        <w:spacing w:after="0" w:line="275"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selectively expanding our component capabilities and investing in manufacturing capacity in low-cost regions. Our manufacturing footprint reflects more than 145 facilities in 22 low-cost countries.</w:t>
      </w:r>
    </w:p>
    <w:p>
      <w:pPr>
        <w:spacing w:after="0" w:line="38" w:lineRule="exact"/>
        <w:rPr>
          <w:rFonts w:ascii="Times New Roman" w:cs="Times New Roman" w:eastAsia="Times New Roman" w:hAnsi="Times New Roman"/>
          <w:sz w:val="18"/>
          <w:szCs w:val="18"/>
          <w:color w:val="auto"/>
        </w:rPr>
      </w:pPr>
    </w:p>
    <w:p>
      <w:pPr>
        <w:ind w:left="660" w:right="20" w:hanging="206"/>
        <w:spacing w:after="0" w:line="26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January 2015 acquisition of Eagle Ottawa, the world’s leading provider of leather for the automotive industry, further strengthened Lear’s global seating business, enhanced our position as the industry leader in luxury and performance automotive seating and complemented our existing capabilities in the design and manufacturing of seat covers.</w:t>
      </w:r>
    </w:p>
    <w:p>
      <w:pPr>
        <w:spacing w:after="0" w:line="51" w:lineRule="exact"/>
        <w:rPr>
          <w:rFonts w:ascii="Times New Roman" w:cs="Times New Roman" w:eastAsia="Times New Roman" w:hAnsi="Times New Roman"/>
          <w:sz w:val="18"/>
          <w:szCs w:val="18"/>
          <w:color w:val="auto"/>
        </w:rPr>
      </w:pPr>
    </w:p>
    <w:p>
      <w:pPr>
        <w:ind w:left="660" w:right="200" w:hanging="206"/>
        <w:spacing w:after="0" w:line="26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also acquired intellectual property and technology from Autonet Mobile and completed the acquisition of Arada Systems. These acquisitions have added software and hardware capabilities that will improve connectivity and communication features in vehicles, as well as provide increased growth opportunities for our Electrical segment.</w:t>
      </w:r>
    </w:p>
    <w:p>
      <w:pPr>
        <w:spacing w:after="0" w:line="5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win new business in both product segments and diversify our sales, with a 2016 to 2018 sales backlog of $2.0 billion.</w:t>
      </w:r>
    </w:p>
    <w:p>
      <w:pPr>
        <w:spacing w:after="0" w:line="90" w:lineRule="exact"/>
        <w:rPr>
          <w:rFonts w:ascii="Times New Roman" w:cs="Times New Roman" w:eastAsia="Times New Roman" w:hAnsi="Times New Roman"/>
          <w:sz w:val="18"/>
          <w:szCs w:val="18"/>
          <w:color w:val="auto"/>
        </w:rPr>
      </w:pPr>
    </w:p>
    <w:p>
      <w:pPr>
        <w:ind w:left="660" w:hanging="206"/>
        <w:spacing w:after="0" w:line="310" w:lineRule="auto"/>
        <w:tabs>
          <w:tab w:leader="none" w:pos="66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returned $566 million to stockholders in 2015 through its share repurchase and dividend programs. Since these programs were initiated in 2011, the Company has returned $2.7 billion to stockholders, including the repurchase of 34% of total shares outstanding. In February 2016, the Company’s share repurchase authorization was increased to $1 billion while maintaining the authorization period until December 31, 2017.</w:t>
      </w:r>
    </w:p>
    <w:p>
      <w:pPr>
        <w:spacing w:after="0" w:line="16" w:lineRule="exact"/>
        <w:rPr>
          <w:rFonts w:ascii="Times New Roman" w:cs="Times New Roman" w:eastAsia="Times New Roman" w:hAnsi="Times New Roman"/>
          <w:sz w:val="16"/>
          <w:szCs w:val="16"/>
          <w:color w:val="auto"/>
        </w:rPr>
      </w:pPr>
    </w:p>
    <w:p>
      <w:pPr>
        <w:ind w:left="660" w:right="160" w:hanging="206"/>
        <w:spacing w:after="0" w:line="275"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2016, our quarterly cash dividend was increased by 20%, representing the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consecutive annual increase since the dividend program was initiated.</w:t>
      </w:r>
    </w:p>
    <w:p>
      <w:pPr>
        <w:spacing w:after="0" w:line="38" w:lineRule="exact"/>
        <w:rPr>
          <w:rFonts w:ascii="Times New Roman" w:cs="Times New Roman" w:eastAsia="Times New Roman" w:hAnsi="Times New Roman"/>
          <w:sz w:val="18"/>
          <w:szCs w:val="18"/>
          <w:color w:val="auto"/>
        </w:rPr>
      </w:pPr>
    </w:p>
    <w:p>
      <w:pPr>
        <w:ind w:left="660" w:right="160" w:hanging="206"/>
        <w:spacing w:after="0" w:line="275"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total return to stockholders in 2015 was 26%, compared with 1% for the S&amp;P 500. The Company’s total return to stockholders for the five-year period ended December 31, 2015 was 162%, compared with 81% for the S&amp;P 500.</w:t>
      </w:r>
    </w:p>
    <w:p>
      <w:pPr>
        <w:spacing w:after="0" w:line="106" w:lineRule="exact"/>
        <w:rPr>
          <w:rFonts w:ascii="Times New Roman" w:cs="Times New Roman" w:eastAsia="Times New Roman" w:hAnsi="Times New Roman"/>
          <w:sz w:val="18"/>
          <w:szCs w:val="18"/>
          <w:color w:val="auto"/>
        </w:rPr>
      </w:pPr>
    </w:p>
    <w:p>
      <w:pPr>
        <w:ind w:left="220" w:right="160" w:hanging="216"/>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Adjusted earnings per share is a non-GAAP financial measure, and we are including our 2015 results for this measure to show an aspect of our performance. Because this measure is not specifically used in our executive compensation program, we are required to include a reconciliation to our audited GAAP financial statements. Appendix A to this proxy statement contains a reconciliation of adjusted earnings per share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right="100" w:hanging="206"/>
        <w:spacing w:after="0" w:line="27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Commensurate with our above target performance on the four incentive plan financial measures, incentive awards for the periods ending in 2015 were earned at above target levels, as illustrated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88585" cy="15265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8858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2013-2015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88585" cy="1526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8858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(see “— 2015 Incentive Programs — Pay for Performance,” “— 2015 Incentive Programs — Annual Incentives” and “— 2015 Incentive Programs — Long-Term Incentives” below for more information regarding these financial measures).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highlights of our 2015 executive compensation program resulting from our 2015 Company financial performance were as follows:</w:t>
      </w:r>
    </w:p>
    <w:p>
      <w:pPr>
        <w:spacing w:after="0" w:line="90" w:lineRule="exact"/>
        <w:rPr>
          <w:sz w:val="20"/>
          <w:szCs w:val="20"/>
          <w:color w:val="auto"/>
        </w:rPr>
      </w:pPr>
    </w:p>
    <w:p>
      <w:pPr>
        <w:ind w:left="660" w:hanging="206"/>
        <w:spacing w:after="0" w:line="27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payouts were commensurate with our financial results. Annual incentive awards were earned at 173% of the targeted level and the 2013-2015 cycle of long-term Performance Shares was earned at 173% of the targeted level based on achievement of the financial goals outlined above.</w:t>
      </w:r>
    </w:p>
    <w:p>
      <w:pPr>
        <w:spacing w:after="0" w:line="38" w:lineRule="exact"/>
        <w:rPr>
          <w:rFonts w:ascii="Times New Roman" w:cs="Times New Roman" w:eastAsia="Times New Roman" w:hAnsi="Times New Roman"/>
          <w:sz w:val="18"/>
          <w:szCs w:val="18"/>
          <w:color w:val="auto"/>
        </w:rPr>
      </w:pPr>
    </w:p>
    <w:p>
      <w:pPr>
        <w:ind w:left="660" w:right="40" w:hanging="206"/>
        <w:spacing w:after="0" w:line="30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2015, long-term incentive awards granted in January 2015 to our Named Executive Officers were solely in the form of equity to further link the interests of our executives with those of our stockholders. We awarded Performance Shares to represent 75% of the value of these long-term incentive awards and service-based restricted stock units (“RSUs”) to represent 25%. We place the greatest weighting on Performance Shares in order to directly link our executives’ interests with those of our stockholders while also rewarding executives based on our three-year financial performance.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20"/>
          </w:cols>
          <w:pgMar w:left="24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THINGS WE DO OR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2540</wp:posOffset>
            </wp:positionV>
            <wp:extent cx="11322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Clawback Policy </w:t>
      </w:r>
      <w:r>
        <w:rPr>
          <w:rFonts w:ascii="Times New Roman" w:cs="Times New Roman" w:eastAsia="Times New Roman" w:hAnsi="Times New Roman"/>
          <w:sz w:val="18"/>
          <w:szCs w:val="18"/>
          <w:color w:val="auto"/>
        </w:rPr>
        <w:t>(see page 41)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Anti-Hedging and Anti-Pledging Policy </w:t>
      </w:r>
      <w:r>
        <w:rPr>
          <w:rFonts w:ascii="Times New Roman" w:cs="Times New Roman" w:eastAsia="Times New Roman" w:hAnsi="Times New Roman"/>
          <w:sz w:val="18"/>
          <w:szCs w:val="18"/>
          <w:color w:val="auto"/>
        </w:rPr>
        <w:t>(see page 41)</w:t>
      </w:r>
    </w:p>
    <w:p>
      <w:pPr>
        <w:spacing w:after="0" w:line="9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Independent Compensation Consultant for Compensation Committee </w:t>
      </w:r>
      <w:r>
        <w:rPr>
          <w:rFonts w:ascii="Times New Roman" w:cs="Times New Roman" w:eastAsia="Times New Roman" w:hAnsi="Times New Roman"/>
          <w:sz w:val="18"/>
          <w:szCs w:val="18"/>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33)</w:t>
      </w:r>
    </w:p>
    <w:p>
      <w:pPr>
        <w:spacing w:after="0" w:line="3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Annual Market Practices and Compensation Risk Review </w:t>
      </w:r>
      <w:r>
        <w:rPr>
          <w:rFonts w:ascii="Times New Roman" w:cs="Times New Roman" w:eastAsia="Times New Roman" w:hAnsi="Times New Roman"/>
          <w:sz w:val="18"/>
          <w:szCs w:val="18"/>
          <w:color w:val="auto"/>
        </w:rPr>
        <w:t>(see pages 32,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57)</w:t>
      </w:r>
    </w:p>
    <w:p>
      <w:pPr>
        <w:spacing w:after="0" w:line="35" w:lineRule="exact"/>
        <w:rPr>
          <w:sz w:val="20"/>
          <w:szCs w:val="20"/>
          <w:color w:val="auto"/>
        </w:rPr>
      </w:pPr>
    </w:p>
    <w:p>
      <w:pPr>
        <w:ind w:right="2280"/>
        <w:spacing w:after="0" w:line="334" w:lineRule="auto"/>
        <w:rPr>
          <w:sz w:val="20"/>
          <w:szCs w:val="20"/>
          <w:color w:val="auto"/>
        </w:rPr>
      </w:pPr>
      <w:r>
        <w:rPr>
          <w:rFonts w:ascii="Times New Roman" w:cs="Times New Roman" w:eastAsia="Times New Roman" w:hAnsi="Times New Roman"/>
          <w:sz w:val="16"/>
          <w:szCs w:val="16"/>
          <w:b w:val="1"/>
          <w:bCs w:val="1"/>
          <w:color w:val="auto"/>
        </w:rPr>
        <w:t xml:space="preserve">High Percentage of Performance-Based Pay </w:t>
      </w:r>
      <w:r>
        <w:rPr>
          <w:rFonts w:ascii="Times New Roman" w:cs="Times New Roman" w:eastAsia="Times New Roman" w:hAnsi="Times New Roman"/>
          <w:sz w:val="16"/>
          <w:szCs w:val="16"/>
          <w:color w:val="auto"/>
        </w:rPr>
        <w:t>(see the charts below and pages 31, 33 to 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Balanced Mix of Performance Measures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page 35)</w:t>
      </w:r>
    </w:p>
    <w:p>
      <w:pPr>
        <w:spacing w:after="0" w:line="76" w:lineRule="exact"/>
        <w:rPr>
          <w:sz w:val="20"/>
          <w:szCs w:val="20"/>
          <w:color w:val="auto"/>
        </w:rPr>
      </w:pPr>
    </w:p>
    <w:p>
      <w:pPr>
        <w:ind w:right="22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Pay Program Aligned with Business Strategy </w:t>
      </w:r>
      <w:r>
        <w:rPr>
          <w:rFonts w:ascii="Times New Roman" w:cs="Times New Roman" w:eastAsia="Times New Roman" w:hAnsi="Times New Roman"/>
          <w:sz w:val="18"/>
          <w:szCs w:val="18"/>
          <w:color w:val="auto"/>
        </w:rPr>
        <w:t>(see pages 31, 35 to 37)</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Stock Ownership Guidelines and Holding Requirement </w:t>
      </w:r>
      <w:r>
        <w:rPr>
          <w:rFonts w:ascii="Times New Roman" w:cs="Times New Roman" w:eastAsia="Times New Roman" w:hAnsi="Times New Roman"/>
          <w:sz w:val="18"/>
          <w:szCs w:val="18"/>
          <w:color w:val="auto"/>
        </w:rPr>
        <w:t>(see page 38)</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THINGS WE DO NOT DO OR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2540</wp:posOffset>
            </wp:positionV>
            <wp:extent cx="15093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 Excise Tax Gross-Ups </w:t>
      </w:r>
      <w:r>
        <w:rPr>
          <w:rFonts w:ascii="Times New Roman" w:cs="Times New Roman" w:eastAsia="Times New Roman" w:hAnsi="Times New Roman"/>
          <w:sz w:val="18"/>
          <w:szCs w:val="18"/>
          <w:color w:val="auto"/>
        </w:rPr>
        <w:t>(see page 40)</w:t>
      </w:r>
    </w:p>
    <w:p>
      <w:pPr>
        <w:spacing w:after="0" w:line="9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 Single-Trigger Change in Control Severance Benefits </w:t>
      </w:r>
      <w:r>
        <w:rPr>
          <w:rFonts w:ascii="Times New Roman" w:cs="Times New Roman" w:eastAsia="Times New Roman" w:hAnsi="Times New Roman"/>
          <w:sz w:val="18"/>
          <w:szCs w:val="18"/>
          <w:color w:val="auto"/>
        </w:rPr>
        <w:t>(see pages 39,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53 to 55)</w:t>
      </w:r>
    </w:p>
    <w:p>
      <w:pPr>
        <w:spacing w:after="0" w:line="35"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 Single-Trigger Change in Control Vesting of Equity Awards </w:t>
      </w:r>
      <w:r>
        <w:rPr>
          <w:rFonts w:ascii="Times New Roman" w:cs="Times New Roman" w:eastAsia="Times New Roman" w:hAnsi="Times New Roman"/>
          <w:sz w:val="18"/>
          <w:szCs w:val="18"/>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39 to 40, 53 to 55)</w:t>
      </w:r>
    </w:p>
    <w:p>
      <w:pPr>
        <w:spacing w:after="0" w:line="2279" w:lineRule="exact"/>
        <w:rPr>
          <w:sz w:val="20"/>
          <w:szCs w:val="20"/>
          <w:color w:val="auto"/>
        </w:rPr>
      </w:pPr>
    </w:p>
    <w:p>
      <w:pPr>
        <w:sectPr>
          <w:pgSz w:w="11900" w:h="16838" w:orient="portrait"/>
          <w:cols w:equalWidth="0" w:num="2">
            <w:col w:w="5580" w:space="480"/>
            <w:col w:w="5360"/>
          </w:cols>
          <w:pgMar w:left="240" w:top="455" w:right="239" w:bottom="1440" w:gutter="0" w:footer="0" w:header="0"/>
          <w:type w:val="continuous"/>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2015 Total Direct Compensation Allocation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(Assuming Performance-Based Components at Target and not including Career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135890</wp:posOffset>
            </wp:positionV>
            <wp:extent cx="5222875" cy="25126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228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will continue to monitor our executive compensation programs and consider appropriate modifications that will allow us to drive achievement of our business strategy and targeted financial results, meet our talent needs and maintain fully-competitive compensation programs and practices to maximize long-term stockholder value.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Pay-Performance Alignment</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executive compensation program is designed to strongly align pay opportunities with performance outcomes. The Compensation Committee considers multiple perspectives in assessing the achievement of this critical objective. Specifically, the Committee reviews incentive payouts as a percentage of target, financial and total shareholder return (TSR) results, and the CEO’s three-year pay relative to the Comparator Group. These analyses found that relative to the Comparator Group:</w:t>
      </w:r>
    </w:p>
    <w:p>
      <w:pPr>
        <w:spacing w:after="0" w:line="55" w:lineRule="exact"/>
        <w:rPr>
          <w:sz w:val="20"/>
          <w:szCs w:val="20"/>
          <w:color w:val="auto"/>
        </w:rPr>
      </w:pPr>
    </w:p>
    <w:p>
      <w:pPr>
        <w:ind w:left="900" w:right="6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target pay levels are in the competitive range of market median, on average, with an emphasis on performance-based pay opportunities</w:t>
      </w:r>
    </w:p>
    <w:p>
      <w:pPr>
        <w:spacing w:after="0" w:line="38"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Lear’s incentive plan performance measures are well-aligned to its business strategy, correlative to driving TSR and are generally consistent with the measures used by the Comparator Group (and the broader industrial market)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Lear’s annual incentive and performance share payouts are aligned with performance relative to the Comparator Group</w:t>
      </w:r>
    </w:p>
    <w:p>
      <w:pPr>
        <w:spacing w:after="0" w:line="90"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CEO’s 2012 to 2014 aggregate “realizable pay” is well aligned with the Company’s relative TSR performance for the three years, 2012 to 2014 (which were the three most recent years of Comparator Group pay data that were publicly-disclosed at the time). This analysis considers pay granted during the three-year period and values equity awards using the stock price at the end of the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Advisory Vote on Executive Compensation</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reviewed the results of the 2015 stockholder advisory vote on Named Executive Officer compensation and incorporated the results as one of the many factors considered in connection with the discharge of its responsibilities. Since a substantial majority (over 98%) of our stockholders voting at the annual meeting approved the compensation program described in our 2015 Proxy Statement, the Compensation Committee did not implement changes to our executive compensation program as a direct result of the stockholders’ advisory vote.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52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objectives of our compensation policies are to:</w:t>
            </w:r>
          </w:p>
        </w:tc>
        <w:tc>
          <w:tcPr>
            <w:tcW w:w="120" w:type="dxa"/>
            <w:vAlign w:val="bottom"/>
            <w:tcBorders>
              <w:top w:val="single" w:sz="8" w:color="auto"/>
              <w:right w:val="single" w:sz="8" w:color="auto"/>
            </w:tcBorders>
          </w:tcPr>
          <w:p>
            <w:pPr>
              <w:spacing w:after="0"/>
              <w:rPr>
                <w:sz w:val="23"/>
                <w:szCs w:val="23"/>
                <w:color w:val="auto"/>
              </w:rPr>
            </w:pPr>
          </w:p>
        </w:tc>
        <w:tc>
          <w:tcPr>
            <w:tcW w:w="580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 achieve these objectives, we believe that the total compensation program</w:t>
            </w:r>
          </w:p>
        </w:tc>
        <w:tc>
          <w:tcPr>
            <w:tcW w:w="0" w:type="dxa"/>
            <w:vAlign w:val="bottom"/>
          </w:tcPr>
          <w:p>
            <w:pPr>
              <w:spacing w:after="0"/>
              <w:rPr>
                <w:sz w:val="1"/>
                <w:szCs w:val="1"/>
                <w:color w:val="auto"/>
              </w:rPr>
            </w:pPr>
          </w:p>
        </w:tc>
      </w:tr>
      <w:tr>
        <w:trPr>
          <w:trHeight w:val="228"/>
        </w:trPr>
        <w:tc>
          <w:tcPr>
            <w:tcW w:w="5520" w:type="dxa"/>
            <w:vAlign w:val="bottom"/>
            <w:tcBorders>
              <w:lef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  link executive pay to Company performance;</w:t>
            </w:r>
          </w:p>
        </w:tc>
        <w:tc>
          <w:tcPr>
            <w:tcW w:w="120" w:type="dxa"/>
            <w:vAlign w:val="bottom"/>
            <w:tcBorders>
              <w:right w:val="single" w:sz="8" w:color="auto"/>
            </w:tcBorders>
          </w:tcPr>
          <w:p>
            <w:pPr>
              <w:spacing w:after="0"/>
              <w:rPr>
                <w:sz w:val="19"/>
                <w:szCs w:val="19"/>
                <w:color w:val="auto"/>
              </w:rPr>
            </w:pPr>
          </w:p>
        </w:tc>
        <w:tc>
          <w:tcPr>
            <w:tcW w:w="58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for executive officers should consist of the following:</w:t>
            </w:r>
          </w:p>
        </w:tc>
        <w:tc>
          <w:tcPr>
            <w:tcW w:w="0" w:type="dxa"/>
            <w:vAlign w:val="bottom"/>
          </w:tcPr>
          <w:p>
            <w:pPr>
              <w:spacing w:after="0"/>
              <w:rPr>
                <w:sz w:val="1"/>
                <w:szCs w:val="1"/>
                <w:color w:val="auto"/>
              </w:rPr>
            </w:pPr>
          </w:p>
        </w:tc>
      </w:tr>
      <w:tr>
        <w:trPr>
          <w:trHeight w:val="81"/>
        </w:trPr>
        <w:tc>
          <w:tcPr>
            <w:tcW w:w="5520" w:type="dxa"/>
            <w:vAlign w:val="bottom"/>
            <w:tcBorders>
              <w:left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base salary;</w:t>
            </w:r>
          </w:p>
        </w:tc>
        <w:tc>
          <w:tcPr>
            <w:tcW w:w="0" w:type="dxa"/>
            <w:vAlign w:val="bottom"/>
          </w:tcPr>
          <w:p>
            <w:pPr>
              <w:spacing w:after="0"/>
              <w:rPr>
                <w:sz w:val="1"/>
                <w:szCs w:val="1"/>
                <w:color w:val="auto"/>
              </w:rPr>
            </w:pPr>
          </w:p>
        </w:tc>
      </w:tr>
      <w:tr>
        <w:trPr>
          <w:trHeight w:val="216"/>
        </w:trPr>
        <w:tc>
          <w:tcPr>
            <w:tcW w:w="5520" w:type="dxa"/>
            <w:vAlign w:val="bottom"/>
            <w:tcBorders>
              <w:lef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w w:val="98"/>
              </w:rPr>
              <w:t>•  optimize profitability, cash flow and revenue growth, and return on</w:t>
            </w:r>
          </w:p>
        </w:tc>
        <w:tc>
          <w:tcPr>
            <w:tcW w:w="120" w:type="dxa"/>
            <w:vAlign w:val="bottom"/>
            <w:tcBorders>
              <w:right w:val="single" w:sz="8" w:color="auto"/>
            </w:tcBorders>
          </w:tcPr>
          <w:p>
            <w:pPr>
              <w:spacing w:after="0"/>
              <w:rPr>
                <w:sz w:val="18"/>
                <w:szCs w:val="18"/>
                <w:color w:val="auto"/>
              </w:rPr>
            </w:pPr>
          </w:p>
        </w:tc>
        <w:tc>
          <w:tcPr>
            <w:tcW w:w="640" w:type="dxa"/>
            <w:vAlign w:val="bottom"/>
            <w:vMerge w:val="continue"/>
          </w:tcPr>
          <w:p>
            <w:pPr>
              <w:spacing w:after="0"/>
              <w:rPr>
                <w:sz w:val="18"/>
                <w:szCs w:val="18"/>
                <w:color w:val="auto"/>
              </w:rPr>
            </w:pPr>
          </w:p>
        </w:tc>
        <w:tc>
          <w:tcPr>
            <w:tcW w:w="51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5520" w:type="dxa"/>
            <w:vAlign w:val="bottom"/>
            <w:tcBorders>
              <w:lef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5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520" w:type="dxa"/>
            <w:vAlign w:val="bottom"/>
            <w:tcBorders>
              <w:lef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Borders>
              <w:right w:val="single" w:sz="8" w:color="auto"/>
            </w:tcBorders>
          </w:tcPr>
          <w:p>
            <w:pPr>
              <w:spacing w:after="0"/>
              <w:rPr>
                <w:sz w:val="19"/>
                <w:szCs w:val="19"/>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annual incentives;</w:t>
            </w:r>
          </w:p>
        </w:tc>
        <w:tc>
          <w:tcPr>
            <w:tcW w:w="0" w:type="dxa"/>
            <w:vAlign w:val="bottom"/>
          </w:tcPr>
          <w:p>
            <w:pPr>
              <w:spacing w:after="0"/>
              <w:rPr>
                <w:sz w:val="1"/>
                <w:szCs w:val="1"/>
                <w:color w:val="auto"/>
              </w:rPr>
            </w:pPr>
          </w:p>
        </w:tc>
      </w:tr>
      <w:tr>
        <w:trPr>
          <w:trHeight w:val="297"/>
        </w:trPr>
        <w:tc>
          <w:tcPr>
            <w:tcW w:w="552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link the interests of management with those of stockholders;</w:t>
            </w:r>
          </w:p>
        </w:tc>
        <w:tc>
          <w:tcPr>
            <w:tcW w:w="120" w:type="dxa"/>
            <w:vAlign w:val="bottom"/>
            <w:tcBorders>
              <w:right w:val="single" w:sz="8" w:color="auto"/>
            </w:tcBorders>
          </w:tcPr>
          <w:p>
            <w:pPr>
              <w:spacing w:after="0"/>
              <w:rPr>
                <w:sz w:val="24"/>
                <w:szCs w:val="2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long-term incentives;</w:t>
            </w:r>
          </w:p>
        </w:tc>
        <w:tc>
          <w:tcPr>
            <w:tcW w:w="0" w:type="dxa"/>
            <w:vAlign w:val="bottom"/>
          </w:tcPr>
          <w:p>
            <w:pPr>
              <w:spacing w:after="0"/>
              <w:rPr>
                <w:sz w:val="1"/>
                <w:szCs w:val="1"/>
                <w:color w:val="auto"/>
              </w:rPr>
            </w:pPr>
          </w:p>
        </w:tc>
      </w:tr>
      <w:tr>
        <w:trPr>
          <w:trHeight w:val="285"/>
        </w:trPr>
        <w:tc>
          <w:tcPr>
            <w:tcW w:w="552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align management’s compensation with our business strategy and</w:t>
            </w:r>
          </w:p>
        </w:tc>
        <w:tc>
          <w:tcPr>
            <w:tcW w:w="120" w:type="dxa"/>
            <w:vAlign w:val="bottom"/>
            <w:tcBorders>
              <w:right w:val="single" w:sz="8" w:color="auto"/>
            </w:tcBorders>
          </w:tcPr>
          <w:p>
            <w:pPr>
              <w:spacing w:after="0"/>
              <w:rPr>
                <w:sz w:val="24"/>
                <w:szCs w:val="2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retirement plan benefits;</w:t>
            </w:r>
          </w:p>
        </w:tc>
        <w:tc>
          <w:tcPr>
            <w:tcW w:w="0" w:type="dxa"/>
            <w:vAlign w:val="bottom"/>
          </w:tcPr>
          <w:p>
            <w:pPr>
              <w:spacing w:after="0"/>
              <w:rPr>
                <w:sz w:val="1"/>
                <w:szCs w:val="1"/>
                <w:color w:val="auto"/>
              </w:rPr>
            </w:pPr>
          </w:p>
        </w:tc>
      </w:tr>
      <w:tr>
        <w:trPr>
          <w:trHeight w:val="228"/>
        </w:trPr>
        <w:tc>
          <w:tcPr>
            <w:tcW w:w="5520" w:type="dxa"/>
            <w:vAlign w:val="bottom"/>
            <w:tcBorders>
              <w:lef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compensation philosophy;</w:t>
            </w:r>
          </w:p>
        </w:tc>
        <w:tc>
          <w:tcPr>
            <w:tcW w:w="120" w:type="dxa"/>
            <w:vAlign w:val="bottom"/>
            <w:tcBorders>
              <w:right w:val="single" w:sz="8" w:color="auto"/>
            </w:tcBorders>
          </w:tcPr>
          <w:p>
            <w:pPr>
              <w:spacing w:after="0"/>
              <w:rPr>
                <w:sz w:val="19"/>
                <w:szCs w:val="19"/>
                <w:color w:val="auto"/>
              </w:rPr>
            </w:pPr>
          </w:p>
        </w:tc>
        <w:tc>
          <w:tcPr>
            <w:tcW w:w="5800" w:type="dxa"/>
            <w:vAlign w:val="bottom"/>
            <w:tcBorders>
              <w:right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  health, welfare and other benefits; and</w:t>
            </w:r>
          </w:p>
        </w:tc>
        <w:tc>
          <w:tcPr>
            <w:tcW w:w="0" w:type="dxa"/>
            <w:vAlign w:val="bottom"/>
          </w:tcPr>
          <w:p>
            <w:pPr>
              <w:spacing w:after="0"/>
              <w:rPr>
                <w:sz w:val="1"/>
                <w:szCs w:val="1"/>
                <w:color w:val="auto"/>
              </w:rPr>
            </w:pPr>
          </w:p>
        </w:tc>
      </w:tr>
      <w:tr>
        <w:trPr>
          <w:trHeight w:val="81"/>
        </w:trPr>
        <w:tc>
          <w:tcPr>
            <w:tcW w:w="5520" w:type="dxa"/>
            <w:vAlign w:val="bottom"/>
            <w:tcBorders>
              <w:lef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w w:val="99"/>
              </w:rPr>
              <w:t>•  promote teamwork within our group of global managers (our “One</w:t>
            </w:r>
          </w:p>
        </w:tc>
        <w:tc>
          <w:tcPr>
            <w:tcW w:w="120" w:type="dxa"/>
            <w:vAlign w:val="bottom"/>
            <w:tcBorders>
              <w:right w:val="single" w:sz="8" w:color="auto"/>
            </w:tcBorders>
          </w:tcPr>
          <w:p>
            <w:pPr>
              <w:spacing w:after="0"/>
              <w:rPr>
                <w:sz w:val="7"/>
                <w:szCs w:val="7"/>
                <w:color w:val="auto"/>
              </w:rPr>
            </w:pPr>
          </w:p>
        </w:tc>
        <w:tc>
          <w:tcPr>
            <w:tcW w:w="58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552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  termination/change in control benefits.</w:t>
            </w:r>
          </w:p>
        </w:tc>
        <w:tc>
          <w:tcPr>
            <w:tcW w:w="0" w:type="dxa"/>
            <w:vAlign w:val="bottom"/>
          </w:tcPr>
          <w:p>
            <w:pPr>
              <w:spacing w:after="0"/>
              <w:rPr>
                <w:sz w:val="1"/>
                <w:szCs w:val="1"/>
                <w:color w:val="auto"/>
              </w:rPr>
            </w:pPr>
          </w:p>
        </w:tc>
      </w:tr>
      <w:tr>
        <w:trPr>
          <w:trHeight w:val="93"/>
        </w:trPr>
        <w:tc>
          <w:tcPr>
            <w:tcW w:w="5520" w:type="dxa"/>
            <w:vAlign w:val="bottom"/>
            <w:tcBorders>
              <w:left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color w:val="auto"/>
              </w:rPr>
              <w:t>Lear” concept); and</w:t>
            </w:r>
          </w:p>
        </w:tc>
        <w:tc>
          <w:tcPr>
            <w:tcW w:w="120" w:type="dxa"/>
            <w:vAlign w:val="bottom"/>
            <w:tcBorders>
              <w:right w:val="single" w:sz="8" w:color="auto"/>
            </w:tcBorders>
          </w:tcPr>
          <w:p>
            <w:pPr>
              <w:spacing w:after="0"/>
              <w:rPr>
                <w:sz w:val="8"/>
                <w:szCs w:val="8"/>
                <w:color w:val="auto"/>
              </w:rPr>
            </w:pPr>
          </w:p>
        </w:tc>
        <w:tc>
          <w:tcPr>
            <w:tcW w:w="580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520" w:type="dxa"/>
            <w:vAlign w:val="bottom"/>
            <w:tcBorders>
              <w:lef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6"/>
        </w:trPr>
        <w:tc>
          <w:tcPr>
            <w:tcW w:w="5520" w:type="dxa"/>
            <w:vAlign w:val="bottom"/>
            <w:tcBorders>
              <w:left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attract, reward and retain the best available executive talent.</w:t>
            </w:r>
          </w:p>
        </w:tc>
        <w:tc>
          <w:tcPr>
            <w:tcW w:w="12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520" w:type="dxa"/>
            <w:vAlign w:val="bottom"/>
          </w:tcPr>
          <w:p>
            <w:pPr>
              <w:spacing w:after="0"/>
              <w:rPr>
                <w:sz w:val="24"/>
                <w:szCs w:val="24"/>
                <w:color w:val="auto"/>
              </w:rPr>
            </w:pPr>
          </w:p>
        </w:tc>
        <w:tc>
          <w:tcPr>
            <w:tcW w:w="76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-31-</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5" w:right="2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routinely reviews the elements noted above. In general, the Compensation Committee monitors compensation levels to ensure that a higher proportion of an executive’s total compensation is awarded in the form of variable and performance-based components (dependent on Company performance) as the executive’s responsibilities increase.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Benchmarking</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Compensation Committee targets base salaries, annual incentive awards, long-term incentive awards and total direct compensation of our executives on average to be within a competitive range (i.e., +/- 10%) of the median of the comparator group. In addition to pay benchmarking, other factors (including our business strategy, talent needs, executives’ experience levels and cost) are considered in setting target pay. Actual compensation will vary based on such factors as external business conditions, the Company’s actual financial performance, an executive’s performance, and achievement of specified management objectives. For 2015, the base salaries, targeted annual incentive awards, targeted long-term incentive awards and targeted total direct compensation for our Named Executive Officers were, on average, within the competitive range of market median for comparable positions within our comparator group.</w:t>
      </w:r>
    </w:p>
    <w:p>
      <w:pPr>
        <w:spacing w:after="0" w:line="11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companies in our comparator group (the “Comparator Group”) are listed below. The criteria used to select the 21 peer companies focused on</w:t>
      </w:r>
    </w:p>
    <w:p>
      <w:pPr>
        <w:spacing w:after="0" w:line="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automotive parts and equipment, industrial machinery, heavy trucks and other durable goods manufacturing companies, generally with the following specifics:</w:t>
      </w:r>
    </w:p>
    <w:p>
      <w:pPr>
        <w:spacing w:after="0" w:line="32" w:lineRule="exact"/>
        <w:rPr>
          <w:sz w:val="20"/>
          <w:szCs w:val="20"/>
          <w:color w:val="auto"/>
        </w:rPr>
      </w:pPr>
    </w:p>
    <w:p>
      <w:pPr>
        <w:ind w:right="20" w:firstLine="8"/>
        <w:spacing w:after="0" w:line="253" w:lineRule="auto"/>
        <w:tabs>
          <w:tab w:leader="none" w:pos="2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revenues typically ranging from 0.5 times to 2.0 times the Company’s revenues (with a median near the Company’s revenues); (ii) global companies typically with U.S. headquarters; (iii) market capitalization typically ranging from 0.2 times to 4.0 times the Company’s market capitalization; and (iv) companies that are considered by independent proxy advisors to be the Company’s proxy peers. The Company supplements its review of the Comparator Group with a broader survey of general industrial companies (not individually selected or identified) for benchmarking of executive compensation levels and, as appropriate, compensation design practices.</w:t>
      </w:r>
    </w:p>
    <w:p>
      <w:pPr>
        <w:spacing w:after="0" w:line="13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companies in the Comparator Group for 2015 (which did not change from 2014) are shown below. The revenues for this group in their most recently reported fiscal year ranged from $6.1 billion to $37.2 billion, with a median of $13.4 billion. Lear’s revenues for 2015 were $18.2 billion.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2015 Comparator Group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BorgWarner Inc.</w:t>
            </w:r>
          </w:p>
        </w:tc>
        <w:tc>
          <w:tcPr>
            <w:tcW w:w="28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Eaton Corporation</w:t>
            </w:r>
          </w:p>
        </w:tc>
        <w:tc>
          <w:tcPr>
            <w:tcW w:w="32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Johnson Controls, Inc.</w:t>
            </w:r>
          </w:p>
        </w:tc>
        <w:tc>
          <w:tcPr>
            <w:tcW w:w="24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Tenneco Inc.</w:t>
            </w: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Cummins Inc.</w:t>
            </w:r>
          </w:p>
        </w:tc>
        <w:tc>
          <w:tcPr>
            <w:tcW w:w="28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Emerson Electric</w:t>
            </w:r>
          </w:p>
        </w:tc>
        <w:tc>
          <w:tcPr>
            <w:tcW w:w="324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L-3 Communications Holdings Inc.</w:t>
            </w:r>
          </w:p>
        </w:tc>
        <w:tc>
          <w:tcPr>
            <w:tcW w:w="2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Textron</w:t>
            </w: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Dana Holding Corporation</w:t>
            </w:r>
          </w:p>
        </w:tc>
        <w:tc>
          <w:tcPr>
            <w:tcW w:w="28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Goodyear Tire &amp; Rubber</w:t>
            </w:r>
          </w:p>
        </w:tc>
        <w:tc>
          <w:tcPr>
            <w:tcW w:w="324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Navistar International</w:t>
            </w:r>
          </w:p>
        </w:tc>
        <w:tc>
          <w:tcPr>
            <w:tcW w:w="2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4"/>
              </w:rPr>
              <w:t>TRW Automotive Holdings Corp.</w:t>
            </w: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Deere &amp; Company</w:t>
            </w:r>
          </w:p>
        </w:tc>
        <w:tc>
          <w:tcPr>
            <w:tcW w:w="28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Illinois Tool Works</w:t>
            </w:r>
          </w:p>
        </w:tc>
        <w:tc>
          <w:tcPr>
            <w:tcW w:w="324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PACCAR Inc.</w:t>
            </w:r>
          </w:p>
        </w:tc>
        <w:tc>
          <w:tcPr>
            <w:tcW w:w="2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Visteon Corporation</w:t>
            </w: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Delphi Automotive</w:t>
            </w:r>
          </w:p>
        </w:tc>
        <w:tc>
          <w:tcPr>
            <w:tcW w:w="28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Ingersoll-Rand Plc</w:t>
            </w:r>
          </w:p>
        </w:tc>
        <w:tc>
          <w:tcPr>
            <w:tcW w:w="324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Parker Hannifin</w:t>
            </w:r>
          </w:p>
        </w:tc>
        <w:tc>
          <w:tcPr>
            <w:tcW w:w="2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Whirlpool</w:t>
            </w:r>
          </w:p>
        </w:tc>
      </w:tr>
      <w:tr>
        <w:trPr>
          <w:trHeight w:val="174"/>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Dover Corporation</w:t>
            </w:r>
          </w:p>
        </w:tc>
        <w:tc>
          <w:tcPr>
            <w:tcW w:w="28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00" w:type="dxa"/>
            <w:vAlign w:val="bottom"/>
          </w:tcPr>
          <w:p>
            <w:pPr>
              <w:spacing w:after="0"/>
              <w:rPr>
                <w:sz w:val="15"/>
                <w:szCs w:val="15"/>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Compensation Review</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Compensation Committee annually reviews key elements of our executive compensation program, including materials setting forth the various components of compensation for our Named Executive Officers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including an analysis of the resulting impact created by a change in control of the Company. The Compensation Committee reviews total compensation summaries or tally sheets for our Named Executive Officers on an annual basis. Tally sheets provide for an overall assessment of our compensation program while ensuring the proper linkage to financial performance and stockholder interests. In addition, although each component is assessed independently, the total</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Management in Setting Compensation Levels</w:t>
      </w:r>
    </w:p>
    <w:p>
      <w:pPr>
        <w:spacing w:after="0" w:line="92"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Our human resources staff supports the Compensation Committee in its work. They also work with compensation consultants, whose engagements have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to assist with the ongoing review of our executive and director compensation programs and to ensure that our programs are competitive and appropriate given the Company’s objectives and prevailing market practices, and, for most compensation topics for which the Compensation Committee is responsible, it has directed Pay Governance to work with management to develop recommendations that reflect the Compensation Committee’s objectives for the compensation program. Pay Governance performs no other services for the Company. The Compensation Committee has final authority to approve, modify or reject these recommendations and to make its decisions in executive session. Our President and CEO provides input with respect to compensation of the executive officers (other than himself) but is otherwise not involved in decisions of the Compensation Committee affecting the compensation of our executive officers. While our CFO, General Counsel, Senior Vice President of Human Resources and other members of our human resources management attend such meetings to provide information, present materials to the Compensation Committee and answer related questions, they are not involved in decisions of the Compensation Committee affecting the compensation of our executive officers. The Compensation Committee typically meets in executive session after each of its regularly scheduled meetings to discuss executive compensation and make decisions.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Discretion of Compensation Committee</w:t>
      </w:r>
    </w:p>
    <w:p>
      <w:pPr>
        <w:spacing w:after="0" w:line="92" w:lineRule="exact"/>
        <w:rPr>
          <w:sz w:val="20"/>
          <w:szCs w:val="20"/>
          <w:color w:val="auto"/>
        </w:rPr>
      </w:pPr>
    </w:p>
    <w:p>
      <w:pPr>
        <w:jc w:val="both"/>
        <w:ind w:right="56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generally has the discretion to make awards under our incentive plans to our executive officers, including the Named Executive Officers. The Compensation Committee did not exercise discretion in 2015 to increase or reduce the size of any outstanding award or to award compensation when a performance goal was not achieved.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92"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Our compensation program is designed to attract, motivate and retain executives through a mix of short-term and long-term compensation, fixed and variable pay and cash and equity-based compensation, while emphasizing our philosophy of providing pay for performance. A summary of the core total direct compensation elements (base salary, annual incentives and long-term incentives) follows below. Retirement plan benefits, termination/change in control benefits, and certain health, welfare and other benefits are not included in this table, but additional information about these programs can be found on pages 39 to 40:</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1940" w:type="dxa"/>
            <w:vAlign w:val="bottom"/>
            <w:tcBorders>
              <w:top w:val="single" w:sz="8" w:color="auto"/>
              <w:left w:val="single" w:sz="8" w:color="auto"/>
            </w:tcBorders>
          </w:tcPr>
          <w:p>
            <w:pPr>
              <w:spacing w:after="0"/>
              <w:rPr>
                <w:sz w:val="12"/>
                <w:szCs w:val="12"/>
                <w:color w:val="auto"/>
              </w:rPr>
            </w:pPr>
          </w:p>
        </w:tc>
        <w:tc>
          <w:tcPr>
            <w:tcW w:w="340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left="2"/>
              <w:spacing w:after="0" w:line="145" w:lineRule="exact"/>
              <w:rPr>
                <w:sz w:val="20"/>
                <w:szCs w:val="20"/>
                <w:color w:val="auto"/>
              </w:rPr>
            </w:pPr>
            <w:r>
              <w:rPr>
                <w:rFonts w:ascii="Times New Roman" w:cs="Times New Roman" w:eastAsia="Times New Roman" w:hAnsi="Times New Roman"/>
                <w:sz w:val="14"/>
                <w:szCs w:val="14"/>
                <w:b w:val="1"/>
                <w:bCs w:val="1"/>
                <w:color w:val="auto"/>
                <w:w w:val="98"/>
              </w:rPr>
              <w:t>Fixed vs.</w:t>
            </w:r>
          </w:p>
        </w:tc>
        <w:tc>
          <w:tcPr>
            <w:tcW w:w="800" w:type="dxa"/>
            <w:vAlign w:val="bottom"/>
            <w:tcBorders>
              <w:top w:val="single" w:sz="8" w:color="auto"/>
            </w:tcBorders>
          </w:tcPr>
          <w:p>
            <w:pPr>
              <w:jc w:val="center"/>
              <w:ind w:right="2"/>
              <w:spacing w:after="0" w:line="145" w:lineRule="exact"/>
              <w:rPr>
                <w:sz w:val="20"/>
                <w:szCs w:val="20"/>
                <w:color w:val="auto"/>
              </w:rPr>
            </w:pPr>
            <w:r>
              <w:rPr>
                <w:rFonts w:ascii="Times New Roman" w:cs="Times New Roman" w:eastAsia="Times New Roman" w:hAnsi="Times New Roman"/>
                <w:sz w:val="14"/>
                <w:szCs w:val="14"/>
                <w:b w:val="1"/>
                <w:bCs w:val="1"/>
                <w:color w:val="auto"/>
                <w:w w:val="96"/>
              </w:rPr>
              <w:t>Cash vs.</w:t>
            </w:r>
          </w:p>
        </w:tc>
        <w:tc>
          <w:tcPr>
            <w:tcW w:w="1260" w:type="dxa"/>
            <w:vAlign w:val="bottom"/>
            <w:tcBorders>
              <w:top w:val="single" w:sz="8" w:color="auto"/>
              <w:right w:val="single" w:sz="8" w:color="auto"/>
            </w:tcBorders>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Payout</w:t>
            </w:r>
          </w:p>
        </w:tc>
      </w:tr>
      <w:tr>
        <w:trPr>
          <w:trHeight w:val="179"/>
        </w:trPr>
        <w:tc>
          <w:tcPr>
            <w:tcW w:w="19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34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3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88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2"/>
              </w:rPr>
              <w:t>Variable</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2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Range</w:t>
            </w:r>
          </w:p>
        </w:tc>
      </w:tr>
      <w:tr>
        <w:trPr>
          <w:trHeight w:val="195"/>
        </w:trPr>
        <w:tc>
          <w:tcPr>
            <w:tcW w:w="1940" w:type="dxa"/>
            <w:vAlign w:val="bottom"/>
            <w:tcBorders>
              <w:left w:val="single" w:sz="8" w:color="auto"/>
            </w:tcBorders>
          </w:tcPr>
          <w:p>
            <w:pPr>
              <w:ind w:left="260"/>
              <w:spacing w:after="0" w:line="195" w:lineRule="exact"/>
              <w:rPr>
                <w:sz w:val="20"/>
                <w:szCs w:val="20"/>
                <w:color w:val="auto"/>
              </w:rPr>
            </w:pPr>
            <w:r>
              <w:rPr>
                <w:rFonts w:ascii="Times New Roman" w:cs="Times New Roman" w:eastAsia="Times New Roman" w:hAnsi="Times New Roman"/>
                <w:sz w:val="18"/>
                <w:szCs w:val="18"/>
                <w:color w:val="auto"/>
              </w:rPr>
              <w:t>Base Salary</w:t>
            </w:r>
          </w:p>
        </w:tc>
        <w:tc>
          <w:tcPr>
            <w:tcW w:w="340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Provide a competitive rate of pay to attract,</w:t>
            </w:r>
          </w:p>
        </w:tc>
        <w:tc>
          <w:tcPr>
            <w:tcW w:w="31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Individual performance, responsibilities,</w:t>
            </w:r>
          </w:p>
        </w:tc>
        <w:tc>
          <w:tcPr>
            <w:tcW w:w="880" w:type="dxa"/>
            <w:vAlign w:val="bottom"/>
          </w:tcPr>
          <w:p>
            <w:pPr>
              <w:jc w:val="center"/>
              <w:ind w:left="2"/>
              <w:spacing w:after="0" w:line="195" w:lineRule="exact"/>
              <w:rPr>
                <w:sz w:val="20"/>
                <w:szCs w:val="20"/>
                <w:color w:val="auto"/>
              </w:rPr>
            </w:pPr>
            <w:r>
              <w:rPr>
                <w:rFonts w:ascii="Times New Roman" w:cs="Times New Roman" w:eastAsia="Times New Roman" w:hAnsi="Times New Roman"/>
                <w:sz w:val="18"/>
                <w:szCs w:val="18"/>
                <w:color w:val="auto"/>
                <w:w w:val="97"/>
              </w:rPr>
              <w:t>Fixed</w:t>
            </w:r>
          </w:p>
        </w:tc>
        <w:tc>
          <w:tcPr>
            <w:tcW w:w="800" w:type="dxa"/>
            <w:vAlign w:val="bottom"/>
          </w:tcPr>
          <w:p>
            <w:pPr>
              <w:jc w:val="center"/>
              <w:ind w:right="2"/>
              <w:spacing w:after="0" w:line="195" w:lineRule="exact"/>
              <w:rPr>
                <w:sz w:val="20"/>
                <w:szCs w:val="20"/>
                <w:color w:val="auto"/>
              </w:rPr>
            </w:pPr>
            <w:r>
              <w:rPr>
                <w:rFonts w:ascii="Times New Roman" w:cs="Times New Roman" w:eastAsia="Times New Roman" w:hAnsi="Times New Roman"/>
                <w:sz w:val="18"/>
                <w:szCs w:val="18"/>
                <w:color w:val="auto"/>
                <w:w w:val="99"/>
              </w:rPr>
              <w:t>Cash</w:t>
            </w:r>
          </w:p>
        </w:tc>
        <w:tc>
          <w:tcPr>
            <w:tcW w:w="1260" w:type="dxa"/>
            <w:vAlign w:val="bottom"/>
            <w:tcBorders>
              <w:right w:val="single" w:sz="8" w:color="auto"/>
            </w:tcBorders>
          </w:tcPr>
          <w:p>
            <w:pPr>
              <w:jc w:val="center"/>
              <w:ind w:right="40"/>
              <w:spacing w:after="0" w:line="195" w:lineRule="exact"/>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940" w:type="dxa"/>
            <w:vAlign w:val="bottom"/>
            <w:tcBorders>
              <w:lef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motivate and retain executive officers of the</w:t>
            </w: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experience, time in position and critical</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29"/>
        </w:trPr>
        <w:tc>
          <w:tcPr>
            <w:tcW w:w="1940" w:type="dxa"/>
            <w:vAlign w:val="bottom"/>
            <w:tcBorders>
              <w:left w:val="single" w:sz="8" w:color="auto"/>
              <w:bottom w:val="single" w:sz="8" w:color="auto"/>
            </w:tcBorders>
          </w:tcPr>
          <w:p>
            <w:pPr>
              <w:spacing w:after="0"/>
              <w:rPr>
                <w:sz w:val="19"/>
                <w:szCs w:val="19"/>
                <w:color w:val="auto"/>
              </w:rPr>
            </w:pPr>
          </w:p>
        </w:tc>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3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skills</w:t>
            </w: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r>
        <w:trPr>
          <w:trHeight w:val="291"/>
        </w:trPr>
        <w:tc>
          <w:tcPr>
            <w:tcW w:w="1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Annual Incentive Plan</w:t>
            </w: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Align a portion of annual pay to performance</w:t>
            </w: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Operating Income (50%)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Variable</w:t>
            </w:r>
          </w:p>
        </w:tc>
        <w:tc>
          <w:tcPr>
            <w:tcW w:w="800" w:type="dxa"/>
            <w:vAlign w:val="bottom"/>
          </w:tcPr>
          <w:p>
            <w:pPr>
              <w:jc w:val="center"/>
              <w:ind w:right="2"/>
              <w:spacing w:after="0"/>
              <w:rPr>
                <w:sz w:val="20"/>
                <w:szCs w:val="20"/>
                <w:color w:val="auto"/>
              </w:rPr>
            </w:pPr>
            <w:r>
              <w:rPr>
                <w:rFonts w:ascii="Times New Roman" w:cs="Times New Roman" w:eastAsia="Times New Roman" w:hAnsi="Times New Roman"/>
                <w:sz w:val="18"/>
                <w:szCs w:val="18"/>
                <w:color w:val="auto"/>
                <w:w w:val="99"/>
              </w:rPr>
              <w:t>Cash</w:t>
            </w:r>
          </w:p>
        </w:tc>
        <w:tc>
          <w:tcPr>
            <w:tcW w:w="1260" w:type="dxa"/>
            <w:vAlign w:val="bottom"/>
            <w:tcBorders>
              <w:right w:val="single" w:sz="8" w:color="auto"/>
            </w:tcBorders>
          </w:tcPr>
          <w:p>
            <w:pPr>
              <w:jc w:val="center"/>
              <w:ind w:right="40"/>
              <w:spacing w:after="0"/>
              <w:rPr>
                <w:sz w:val="20"/>
                <w:szCs w:val="20"/>
                <w:color w:val="auto"/>
              </w:rPr>
            </w:pPr>
            <w:r>
              <w:rPr>
                <w:rFonts w:ascii="Times New Roman" w:cs="Times New Roman" w:eastAsia="Times New Roman" w:hAnsi="Times New Roman"/>
                <w:sz w:val="18"/>
                <w:szCs w:val="18"/>
                <w:color w:val="auto"/>
                <w:w w:val="96"/>
              </w:rPr>
              <w:t>0-200% of</w:t>
            </w:r>
          </w:p>
        </w:tc>
      </w:tr>
      <w:tr>
        <w:trPr>
          <w:trHeight w:val="237"/>
        </w:trPr>
        <w:tc>
          <w:tcPr>
            <w:tcW w:w="1940" w:type="dxa"/>
            <w:vAlign w:val="bottom"/>
            <w:tcBorders>
              <w:left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(AIP)</w:t>
            </w:r>
          </w:p>
        </w:tc>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against key goals and objectives for the year</w:t>
            </w:r>
          </w:p>
        </w:tc>
        <w:tc>
          <w:tcPr>
            <w:tcW w:w="3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Free Cash Flow (50%)</w:t>
            </w:r>
          </w:p>
        </w:tc>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8"/>
                <w:szCs w:val="18"/>
                <w:color w:val="auto"/>
                <w:w w:val="97"/>
              </w:rPr>
              <w:t>target</w:t>
            </w:r>
          </w:p>
        </w:tc>
      </w:tr>
      <w:tr>
        <w:trPr>
          <w:trHeight w:val="363"/>
        </w:trPr>
        <w:tc>
          <w:tcPr>
            <w:tcW w:w="1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40"/>
          </w:cols>
          <w:pgMar w:left="240" w:top="455" w:right="2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1940" w:type="dxa"/>
            <w:vAlign w:val="bottom"/>
            <w:tcBorders>
              <w:top w:val="single" w:sz="8" w:color="auto"/>
              <w:left w:val="single" w:sz="8" w:color="auto"/>
            </w:tcBorders>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Fixed vs.</w:t>
            </w:r>
          </w:p>
        </w:tc>
        <w:tc>
          <w:tcPr>
            <w:tcW w:w="7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Cash vs.</w:t>
            </w:r>
          </w:p>
        </w:tc>
        <w:tc>
          <w:tcPr>
            <w:tcW w:w="1360" w:type="dxa"/>
            <w:vAlign w:val="bottom"/>
            <w:tcBorders>
              <w:top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Payout</w:t>
            </w:r>
          </w:p>
        </w:tc>
      </w:tr>
      <w:tr>
        <w:trPr>
          <w:trHeight w:val="179"/>
        </w:trPr>
        <w:tc>
          <w:tcPr>
            <w:tcW w:w="19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34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3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Range</w:t>
            </w:r>
          </w:p>
        </w:tc>
      </w:tr>
      <w:tr>
        <w:trPr>
          <w:trHeight w:val="290"/>
        </w:trPr>
        <w:tc>
          <w:tcPr>
            <w:tcW w:w="1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Long-Term</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Align executive pay with long-term</w:t>
            </w: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Adjusted Return on Invested Capital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Variable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0-200% of</w:t>
            </w:r>
          </w:p>
        </w:tc>
      </w:tr>
      <w:tr>
        <w:trPr>
          <w:trHeight w:val="216"/>
        </w:trPr>
        <w:tc>
          <w:tcPr>
            <w:tcW w:w="1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Stock Incentive Plan</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interests through equity-based</w:t>
            </w: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(ROIC) (66 2/3%)</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 number</w:t>
            </w:r>
          </w:p>
        </w:tc>
      </w:tr>
      <w:tr>
        <w:trPr>
          <w:trHeight w:val="216"/>
        </w:trPr>
        <w:tc>
          <w:tcPr>
            <w:tcW w:w="1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(LTSIP)</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compensation tied to key performance metrics</w:t>
            </w: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Cumulative Pre-Tax Income (33 1/3%)</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 shares;</w:t>
            </w:r>
          </w:p>
        </w:tc>
      </w:tr>
      <w:tr>
        <w:trPr>
          <w:trHeight w:val="216"/>
        </w:trPr>
        <w:tc>
          <w:tcPr>
            <w:tcW w:w="1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Performance Shares</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Company over a three-year period</w:t>
            </w:r>
          </w:p>
        </w:tc>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Performance</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Share value</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fluctuates with</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 price</w:t>
            </w:r>
          </w:p>
        </w:tc>
      </w:tr>
      <w:tr>
        <w:trPr>
          <w:trHeight w:val="229"/>
        </w:trPr>
        <w:tc>
          <w:tcPr>
            <w:tcW w:w="1940" w:type="dxa"/>
            <w:vAlign w:val="bottom"/>
            <w:tcBorders>
              <w:left w:val="single" w:sz="8" w:color="auto"/>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movement</w:t>
            </w:r>
          </w:p>
        </w:tc>
      </w:tr>
      <w:tr>
        <w:trPr>
          <w:trHeight w:val="291"/>
        </w:trPr>
        <w:tc>
          <w:tcPr>
            <w:tcW w:w="1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Restricted Stock Units</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Align executive pay with long-term</w:t>
            </w: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price alignment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Variable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Fluctuates with</w:t>
            </w:r>
          </w:p>
        </w:tc>
      </w:tr>
      <w:tr>
        <w:trPr>
          <w:trHeight w:val="216"/>
        </w:trPr>
        <w:tc>
          <w:tcPr>
            <w:tcW w:w="1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(RSUs)</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interests through equity-</w:t>
            </w:r>
          </w:p>
        </w:tc>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 price</w:t>
            </w:r>
          </w:p>
        </w:tc>
      </w:tr>
      <w:tr>
        <w:trPr>
          <w:trHeight w:val="229"/>
        </w:trPr>
        <w:tc>
          <w:tcPr>
            <w:tcW w:w="1940" w:type="dxa"/>
            <w:vAlign w:val="bottom"/>
            <w:tcBorders>
              <w:left w:val="single" w:sz="8" w:color="auto"/>
              <w:bottom w:val="single" w:sz="8" w:color="auto"/>
            </w:tcBorders>
          </w:tcPr>
          <w:p>
            <w:pPr>
              <w:spacing w:after="0"/>
              <w:rPr>
                <w:sz w:val="19"/>
                <w:szCs w:val="19"/>
                <w:color w:val="auto"/>
              </w:rPr>
            </w:pPr>
          </w:p>
        </w:tc>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based compensation</w:t>
            </w:r>
          </w:p>
        </w:tc>
        <w:tc>
          <w:tcPr>
            <w:tcW w:w="3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movement</w:t>
            </w: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Narrative descriptions of the individual elements of compensation are set forth below.</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94" w:lineRule="exact"/>
        <w:rPr>
          <w:sz w:val="20"/>
          <w:szCs w:val="20"/>
          <w:color w:val="auto"/>
        </w:rPr>
      </w:pPr>
    </w:p>
    <w:p>
      <w:pPr>
        <w:jc w:val="both"/>
        <w:ind w:right="380" w:firstLine="456"/>
        <w:spacing w:after="0" w:line="262" w:lineRule="auto"/>
        <w:rPr>
          <w:sz w:val="20"/>
          <w:szCs w:val="20"/>
          <w:color w:val="auto"/>
        </w:rPr>
      </w:pPr>
      <w:r>
        <w:rPr>
          <w:rFonts w:ascii="Times New Roman" w:cs="Times New Roman" w:eastAsia="Times New Roman" w:hAnsi="Times New Roman"/>
          <w:sz w:val="18"/>
          <w:szCs w:val="18"/>
          <w:color w:val="auto"/>
        </w:rPr>
        <w:t>Base salary is used as input for other elements of our compensation program. For example, annual incentive targets in 2015 were set as a percentage of base salary. Because the amount of base salary can establish the range of potential compensation for other elements, we take special care in establishing base salary levels.</w:t>
      </w:r>
    </w:p>
    <w:p>
      <w:pPr>
        <w:spacing w:after="0" w:line="132"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Base salaries for our Named Executive Officers are targeted, on average, around the median level for comparable positions within the Comparator Group and broader industrial survey, as appropriate. On an annual basis, we review respective responsibilities, individual performance, the Company’s business performance and base salary levels for senior executives at companies within the Comparator Group and broader industrial survey. Base salaries for our executive officers are established at levels considered appropriate in light of the duties and scope of responsibilities of each officer’s position and considering internal pay equity and their experience relative to industry peers. In this regard, the Compensation Committee also considers the compensation practices and financial performance of companies within the Comparator Group. Merit increases in base salary for our senior executives are also determined by the results of the Board’s annual leadership review. At this review, our CEO assesses the performance of our top executives and presents his perspectives to our Board. Our CEO’s base salary and total compensation are reviewed by the Compensation Committee following the annual CEO performance review. Generally in February of each year, the CEO and Compensation Committee reach agreement on his goals and objectives for the upcoming year, and the Compensation Committee evaluates his performance for the prior year against the prior year’s agreed goals and objectives. Based on the 2015 merit review, the salaries of our Named Executive Officers were increased, effective October 1, 2015, to remain competitive within the Comparator Group and to recognize their contributions within their respective roles, as shown in the following table: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020" w:type="dxa"/>
            <w:vAlign w:val="bottom"/>
          </w:tcPr>
          <w:p>
            <w:pPr>
              <w:spacing w:after="0"/>
              <w:rPr>
                <w:sz w:val="16"/>
                <w:szCs w:val="16"/>
                <w:color w:val="auto"/>
              </w:rPr>
            </w:pPr>
          </w:p>
        </w:tc>
        <w:tc>
          <w:tcPr>
            <w:tcW w:w="2700" w:type="dxa"/>
            <w:vAlign w:val="bottom"/>
            <w:gridSpan w:val="2"/>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w w:val="95"/>
              </w:rPr>
              <w:t xml:space="preserve">Prior Base Salary </w:t>
            </w: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w:t>
            </w:r>
          </w:p>
        </w:tc>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Base Salary as of October 1, 2015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Matthew J. Simoncini</w:t>
            </w:r>
          </w:p>
        </w:tc>
        <w:tc>
          <w:tcPr>
            <w:tcW w:w="40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1,290,000</w:t>
            </w:r>
          </w:p>
        </w:tc>
        <w:tc>
          <w:tcPr>
            <w:tcW w:w="148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1,354,500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672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729,000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774,000</w:t>
            </w: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6720" w:type="dxa"/>
            <w:vAlign w:val="bottom"/>
            <w:gridSpan w:val="3"/>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828,000</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855,098</w:t>
            </w: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672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828,000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855,098</w:t>
            </w: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6720" w:type="dxa"/>
            <w:vAlign w:val="bottom"/>
            <w:gridSpan w:val="3"/>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698,000</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736,375</w:t>
            </w:r>
          </w:p>
        </w:tc>
        <w:tc>
          <w:tcPr>
            <w:tcW w:w="100" w:type="dxa"/>
            <w:vAlign w:val="bottom"/>
            <w:shd w:val="clear" w:color="auto" w:fill="CCEEFF"/>
          </w:tcPr>
          <w:p>
            <w:pPr>
              <w:spacing w:after="0"/>
              <w:rPr>
                <w:sz w:val="18"/>
                <w:szCs w:val="18"/>
                <w:color w:val="auto"/>
              </w:rPr>
            </w:pPr>
          </w:p>
        </w:tc>
      </w:tr>
      <w:tr>
        <w:trPr>
          <w:trHeight w:val="363"/>
        </w:trPr>
        <w:tc>
          <w:tcPr>
            <w:tcW w:w="1560" w:type="dxa"/>
            <w:vAlign w:val="bottom"/>
          </w:tcPr>
          <w:p>
            <w:pPr>
              <w:spacing w:after="0"/>
              <w:rPr>
                <w:sz w:val="24"/>
                <w:szCs w:val="24"/>
                <w:color w:val="auto"/>
              </w:rPr>
            </w:pPr>
          </w:p>
        </w:tc>
        <w:tc>
          <w:tcPr>
            <w:tcW w:w="4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40"/>
          </w:cols>
          <w:pgMar w:left="240" w:top="455" w:right="2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2015 Incentive Programs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Pay for Performance</w:t>
      </w:r>
    </w:p>
    <w:p>
      <w:pPr>
        <w:spacing w:after="0" w:line="92" w:lineRule="exact"/>
        <w:rPr>
          <w:sz w:val="20"/>
          <w:szCs w:val="20"/>
          <w:color w:val="auto"/>
        </w:rPr>
      </w:pPr>
    </w:p>
    <w:p>
      <w:pPr>
        <w:ind w:right="560" w:firstLine="456"/>
        <w:spacing w:after="0" w:line="289" w:lineRule="auto"/>
        <w:rPr>
          <w:sz w:val="20"/>
          <w:szCs w:val="20"/>
          <w:color w:val="auto"/>
        </w:rPr>
      </w:pPr>
      <w:r>
        <w:rPr>
          <w:rFonts w:ascii="Times New Roman" w:cs="Times New Roman" w:eastAsia="Times New Roman" w:hAnsi="Times New Roman"/>
          <w:sz w:val="16"/>
          <w:szCs w:val="16"/>
          <w:color w:val="auto"/>
        </w:rPr>
        <w:t>All of the annual incentive opportunity and the majority (75%) of the long-term incentive opportunity are determined based on specific performance measures that drive achievement of our business strategy while ensuring sharp focus on critical results. Time-based RSUs make up the remaining portion</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(25%) of our 2015 long-term incentive awards and derive their value from our stock price and dividends. In order to drive profitable growth with efficient capital management, we selected four complementary performance measures (which assess earnings, cash flow and capital management over annual or three-year periods) to use in our incentive plans for 2015:</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520" w:type="dxa"/>
            <w:vAlign w:val="bottom"/>
            <w:tcBorders>
              <w:top w:val="single" w:sz="8" w:color="auto"/>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8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8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300" w:type="dxa"/>
            <w:vAlign w:val="bottom"/>
            <w:tcBorders>
              <w:top w:val="single" w:sz="8" w:color="auto"/>
              <w:bottom w:val="single" w:sz="8" w:color="auto"/>
            </w:tcBorders>
          </w:tcPr>
          <w:p>
            <w:pPr>
              <w:spacing w:after="0"/>
              <w:rPr>
                <w:sz w:val="18"/>
                <w:szCs w:val="18"/>
                <w:color w:val="auto"/>
              </w:rPr>
            </w:pPr>
          </w:p>
        </w:tc>
        <w:tc>
          <w:tcPr>
            <w:tcW w:w="5940" w:type="dxa"/>
            <w:vAlign w:val="bottom"/>
            <w:tcBorders>
              <w:top w:val="single" w:sz="8" w:color="auto"/>
              <w:bottom w:val="single" w:sz="8" w:color="auto"/>
              <w:right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Background</w:t>
            </w:r>
          </w:p>
        </w:tc>
      </w:tr>
      <w:tr>
        <w:trPr>
          <w:trHeight w:val="195"/>
        </w:trPr>
        <w:tc>
          <w:tcPr>
            <w:tcW w:w="3520" w:type="dxa"/>
            <w:vAlign w:val="bottom"/>
            <w:tcBorders>
              <w:lef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Adjusted Operating Income</w:t>
            </w:r>
          </w:p>
        </w:tc>
        <w:tc>
          <w:tcPr>
            <w:tcW w:w="80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AIP</w:t>
            </w: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Pre-tax income before equity income, interest, other expense, restructuring</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costs, and other special items.</w:t>
            </w:r>
          </w:p>
        </w:tc>
      </w:tr>
      <w:tr>
        <w:trPr>
          <w:trHeight w:val="285"/>
        </w:trPr>
        <w:tc>
          <w:tcPr>
            <w:tcW w:w="352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Adjusted Operating Income is a well understood operating metric that can be</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influenced by all levels of employees of the Company.</w:t>
            </w:r>
          </w:p>
        </w:tc>
      </w:tr>
      <w:tr>
        <w:trPr>
          <w:trHeight w:val="297"/>
        </w:trPr>
        <w:tc>
          <w:tcPr>
            <w:tcW w:w="352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Provides motivation to maximize earnings from current operations.</w:t>
            </w:r>
          </w:p>
        </w:tc>
      </w:tr>
      <w:tr>
        <w:trPr>
          <w:trHeight w:val="164"/>
        </w:trPr>
        <w:tc>
          <w:tcPr>
            <w:tcW w:w="3520" w:type="dxa"/>
            <w:vAlign w:val="bottom"/>
            <w:tcBorders>
              <w:left w:val="single" w:sz="8" w:color="auto"/>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940" w:type="dxa"/>
            <w:vAlign w:val="bottom"/>
            <w:tcBorders>
              <w:bottom w:val="single" w:sz="8" w:color="auto"/>
              <w:right w:val="single" w:sz="8" w:color="auto"/>
            </w:tcBorders>
          </w:tcPr>
          <w:p>
            <w:pPr>
              <w:spacing w:after="0"/>
              <w:rPr>
                <w:sz w:val="14"/>
                <w:szCs w:val="14"/>
                <w:color w:val="auto"/>
              </w:rPr>
            </w:pPr>
          </w:p>
        </w:tc>
      </w:tr>
      <w:tr>
        <w:trPr>
          <w:trHeight w:val="195"/>
        </w:trPr>
        <w:tc>
          <w:tcPr>
            <w:tcW w:w="3520" w:type="dxa"/>
            <w:vAlign w:val="bottom"/>
            <w:tcBorders>
              <w:lef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Free Cash Flow</w:t>
            </w:r>
          </w:p>
        </w:tc>
        <w:tc>
          <w:tcPr>
            <w:tcW w:w="80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AIP</w:t>
            </w: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Net cash provided by operating activities, less capital expenditures, excluding</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certain transactions.</w:t>
            </w:r>
          </w:p>
        </w:tc>
      </w:tr>
      <w:tr>
        <w:trPr>
          <w:trHeight w:val="285"/>
        </w:trPr>
        <w:tc>
          <w:tcPr>
            <w:tcW w:w="352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Free Cash Flow is a well understood operating metric that can be influenced by</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all levels of employees of the Company.</w:t>
            </w:r>
          </w:p>
        </w:tc>
      </w:tr>
      <w:tr>
        <w:trPr>
          <w:trHeight w:val="285"/>
        </w:trPr>
        <w:tc>
          <w:tcPr>
            <w:tcW w:w="352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Provides motivation to maximize cash flow through earnings and appropriate</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management of working capital and investments.</w:t>
            </w:r>
          </w:p>
        </w:tc>
      </w:tr>
      <w:tr>
        <w:trPr>
          <w:trHeight w:val="164"/>
        </w:trPr>
        <w:tc>
          <w:tcPr>
            <w:tcW w:w="3520" w:type="dxa"/>
            <w:vAlign w:val="bottom"/>
            <w:tcBorders>
              <w:left w:val="single" w:sz="8" w:color="auto"/>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940" w:type="dxa"/>
            <w:vAlign w:val="bottom"/>
            <w:tcBorders>
              <w:bottom w:val="single" w:sz="8" w:color="auto"/>
              <w:right w:val="single" w:sz="8" w:color="auto"/>
            </w:tcBorders>
          </w:tcPr>
          <w:p>
            <w:pPr>
              <w:spacing w:after="0"/>
              <w:rPr>
                <w:sz w:val="14"/>
                <w:szCs w:val="14"/>
                <w:color w:val="auto"/>
              </w:rPr>
            </w:pPr>
          </w:p>
        </w:tc>
      </w:tr>
      <w:tr>
        <w:trPr>
          <w:trHeight w:val="195"/>
        </w:trPr>
        <w:tc>
          <w:tcPr>
            <w:tcW w:w="3520" w:type="dxa"/>
            <w:vAlign w:val="bottom"/>
            <w:tcBorders>
              <w:lef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Adjusted Return on Invested Capital (ROIC)</w:t>
            </w:r>
          </w:p>
        </w:tc>
        <w:tc>
          <w:tcPr>
            <w:tcW w:w="80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LTSIP</w:t>
            </w: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66 2/3%</w:t>
            </w:r>
          </w:p>
        </w:tc>
        <w:tc>
          <w:tcPr>
            <w:tcW w:w="30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Based on Adjusted Operating Income and average invested capital for</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performance increments over the three-year performance period (2015-2017).</w:t>
            </w:r>
          </w:p>
        </w:tc>
      </w:tr>
      <w:tr>
        <w:trPr>
          <w:trHeight w:val="285"/>
        </w:trPr>
        <w:tc>
          <w:tcPr>
            <w:tcW w:w="352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Adjusted ROIC is a well understood operating metric that focuses on the</w:t>
            </w:r>
          </w:p>
        </w:tc>
      </w:tr>
      <w:tr>
        <w:trPr>
          <w:trHeight w:val="216"/>
        </w:trPr>
        <w:tc>
          <w:tcPr>
            <w:tcW w:w="352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quality of earnings as measured by return from total capital invested in the</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business.</w:t>
            </w:r>
          </w:p>
        </w:tc>
      </w:tr>
      <w:tr>
        <w:trPr>
          <w:trHeight w:val="366"/>
        </w:trPr>
        <w:tc>
          <w:tcPr>
            <w:tcW w:w="352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Provides long-term focus on generating adequate returns balanced by the goal</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 profitable growth embedded in the annual incentive performance measures.</w:t>
            </w:r>
          </w:p>
        </w:tc>
      </w:tr>
      <w:tr>
        <w:trPr>
          <w:trHeight w:val="297"/>
        </w:trPr>
        <w:tc>
          <w:tcPr>
            <w:tcW w:w="352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Desired goal is to generate returns in excess of the Company’s cost of capital.</w:t>
            </w:r>
          </w:p>
        </w:tc>
      </w:tr>
      <w:tr>
        <w:trPr>
          <w:trHeight w:val="164"/>
        </w:trPr>
        <w:tc>
          <w:tcPr>
            <w:tcW w:w="3520" w:type="dxa"/>
            <w:vAlign w:val="bottom"/>
            <w:tcBorders>
              <w:left w:val="single" w:sz="8" w:color="auto"/>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940" w:type="dxa"/>
            <w:vAlign w:val="bottom"/>
            <w:tcBorders>
              <w:bottom w:val="single" w:sz="8" w:color="auto"/>
              <w:right w:val="single" w:sz="8" w:color="auto"/>
            </w:tcBorders>
          </w:tcPr>
          <w:p>
            <w:pPr>
              <w:spacing w:after="0"/>
              <w:rPr>
                <w:sz w:val="14"/>
                <w:szCs w:val="14"/>
                <w:color w:val="auto"/>
              </w:rPr>
            </w:pPr>
          </w:p>
        </w:tc>
      </w:tr>
      <w:tr>
        <w:trPr>
          <w:trHeight w:val="195"/>
        </w:trPr>
        <w:tc>
          <w:tcPr>
            <w:tcW w:w="3520" w:type="dxa"/>
            <w:vAlign w:val="bottom"/>
            <w:tcBorders>
              <w:lef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Cumulative Pre-Tax Income</w:t>
            </w:r>
          </w:p>
        </w:tc>
        <w:tc>
          <w:tcPr>
            <w:tcW w:w="80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LTSIP</w:t>
            </w: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33 1/3%</w:t>
            </w:r>
          </w:p>
        </w:tc>
        <w:tc>
          <w:tcPr>
            <w:tcW w:w="30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Cumulative consolidated net income for the three-year performance period</w:t>
            </w:r>
          </w:p>
        </w:tc>
      </w:tr>
      <w:tr>
        <w:trPr>
          <w:trHeight w:val="216"/>
        </w:trPr>
        <w:tc>
          <w:tcPr>
            <w:tcW w:w="352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(2015-2017) before a provision for income taxes, excluding certain</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transactions.</w:t>
            </w:r>
          </w:p>
        </w:tc>
      </w:tr>
      <w:tr>
        <w:trPr>
          <w:trHeight w:val="285"/>
        </w:trPr>
        <w:tc>
          <w:tcPr>
            <w:tcW w:w="352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Focuses on earnings generated from products sold, encouraging profitable</w:t>
            </w:r>
          </w:p>
        </w:tc>
      </w:tr>
      <w:tr>
        <w:trPr>
          <w:trHeight w:val="228"/>
        </w:trPr>
        <w:tc>
          <w:tcPr>
            <w:tcW w:w="35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revenue growth and efficient management of costs over time.</w:t>
            </w:r>
          </w:p>
        </w:tc>
      </w:tr>
      <w:tr>
        <w:trPr>
          <w:trHeight w:val="164"/>
        </w:trPr>
        <w:tc>
          <w:tcPr>
            <w:tcW w:w="3520" w:type="dxa"/>
            <w:vAlign w:val="bottom"/>
            <w:tcBorders>
              <w:left w:val="single" w:sz="8" w:color="auto"/>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940" w:type="dxa"/>
            <w:vAlign w:val="bottom"/>
            <w:tcBorders>
              <w:bottom w:val="single" w:sz="8" w:color="auto"/>
              <w:right w:val="single" w:sz="8" w:color="auto"/>
            </w:tcBorders>
          </w:tcPr>
          <w:p>
            <w:pPr>
              <w:spacing w:after="0"/>
              <w:rPr>
                <w:sz w:val="14"/>
                <w:szCs w:val="14"/>
                <w:color w:val="auto"/>
              </w:rPr>
            </w:pPr>
          </w:p>
        </w:tc>
      </w:tr>
      <w:tr>
        <w:trPr>
          <w:trHeight w:val="356"/>
        </w:trPr>
        <w:tc>
          <w:tcPr>
            <w:tcW w:w="3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-35-</w:t>
            </w:r>
          </w:p>
        </w:tc>
      </w:tr>
    </w:tbl>
    <w:p>
      <w:pPr>
        <w:sectPr>
          <w:pgSz w:w="11900" w:h="16838" w:orient="portrait"/>
          <w:cols w:equalWidth="0" w:num="1">
            <w:col w:w="11440"/>
          </w:cols>
          <w:pgMar w:left="240" w:top="455" w:right="2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Annual Incentives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Our executive officers participate in the Annual Incentive Plan (“AIP”). Under the AIP, the Compensation Committee provides annual cash incentive award opportunities for the achievement of financial performance goals considered important to the Company’s future success. Awards, if earned, are typically paid early in the following year based on our performance achieved in the prior fiscal year.</w:t>
      </w:r>
    </w:p>
    <w:p>
      <w:pPr>
        <w:spacing w:after="0" w:line="130" w:lineRule="exact"/>
        <w:rPr>
          <w:sz w:val="20"/>
          <w:szCs w:val="20"/>
          <w:color w:val="auto"/>
        </w:rPr>
      </w:pPr>
    </w:p>
    <w:p>
      <w:pPr>
        <w:ind w:right="2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Target Annual Incentive</w:t>
      </w:r>
      <w:r>
        <w:rPr>
          <w:rFonts w:ascii="Times New Roman" w:cs="Times New Roman" w:eastAsia="Times New Roman" w:hAnsi="Times New Roman"/>
          <w:sz w:val="18"/>
          <w:szCs w:val="18"/>
          <w:color w:val="auto"/>
        </w:rPr>
        <w:t>. Each Named Executive Officer is assigned an annual target opportunity under the AIP expressed as a percentage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 The target opportunity for Mr. Simoncini in 2015 was 160% of his incentive-eligible base salary. For each of Messrs. Vanneste, Scott, Larkin and Orsini the target opportunity was 80%.</w:t>
      </w:r>
    </w:p>
    <w:p>
      <w:pPr>
        <w:spacing w:after="0" w:line="134" w:lineRule="exact"/>
        <w:rPr>
          <w:sz w:val="20"/>
          <w:szCs w:val="20"/>
          <w:color w:val="auto"/>
        </w:rPr>
      </w:pPr>
    </w:p>
    <w:p>
      <w:pPr>
        <w:ind w:right="18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Financial Measures</w:t>
      </w:r>
      <w:r>
        <w:rPr>
          <w:rFonts w:ascii="Times New Roman" w:cs="Times New Roman" w:eastAsia="Times New Roman" w:hAnsi="Times New Roman"/>
          <w:sz w:val="16"/>
          <w:szCs w:val="16"/>
          <w:color w:val="auto"/>
        </w:rPr>
        <w:t>. Adjusted Operating Income and Free Cash Flow were used because they are highly visible and important measures of operating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that are relied upon by investors. The target goals of Adjusted Operating Income and Free Cash Flow were set based on the budget/forecast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 200% target award was warranted. If threshold, target or maximum Adjusted Operating Income and Free Cash Flow goals (described above in “– Executive Summary – 2015 Annual Incentive Program”) were attained in 2015, 50%, 100% or 200% of the target incentive amount for each executive, respectively, would be earned.</w:t>
      </w:r>
    </w:p>
    <w:p>
      <w:pPr>
        <w:spacing w:after="0" w:line="113" w:lineRule="exact"/>
        <w:rPr>
          <w:sz w:val="20"/>
          <w:szCs w:val="20"/>
          <w:color w:val="auto"/>
        </w:rPr>
      </w:pPr>
    </w:p>
    <w:p>
      <w:pPr>
        <w:jc w:val="both"/>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Results. </w:t>
      </w:r>
      <w:r>
        <w:rPr>
          <w:rFonts w:ascii="Times New Roman" w:cs="Times New Roman" w:eastAsia="Times New Roman" w:hAnsi="Times New Roman"/>
          <w:sz w:val="18"/>
          <w:szCs w:val="18"/>
          <w:color w:val="auto"/>
        </w:rPr>
        <w:t>Our 2015 Adjusted Operating Income ($1,310 million) exceeded the target performance level and our Free Cash Flow ($831 million) was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performance level, which resulted in annual incentive awards being earned at 173% of target. Adjusted Operating Income and Free Cash Flow are non-GAAP measures, each of which is defined above in “— 2015 Incentive Programs — Pay for Performance.” The resulting annual incentive amounts earned by our Named Executive Officers were as follows: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2015 Annual Incentives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Target Opportunity</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2015 Incentive</w:t>
            </w:r>
          </w:p>
        </w:tc>
        <w:tc>
          <w:tcPr>
            <w:tcW w:w="0" w:type="dxa"/>
            <w:vAlign w:val="bottom"/>
          </w:tcPr>
          <w:p>
            <w:pPr>
              <w:spacing w:after="0"/>
              <w:rPr>
                <w:sz w:val="1"/>
                <w:szCs w:val="1"/>
                <w:color w:val="auto"/>
              </w:rPr>
            </w:pPr>
          </w:p>
        </w:tc>
      </w:tr>
      <w:tr>
        <w:trPr>
          <w:trHeight w:val="165"/>
        </w:trPr>
        <w:tc>
          <w:tcPr>
            <w:tcW w:w="54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 of Base)(1)</w:t>
            </w:r>
          </w:p>
        </w:tc>
        <w:tc>
          <w:tcPr>
            <w:tcW w:w="2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Target Amount (1)</w:t>
            </w:r>
          </w:p>
        </w:tc>
        <w:tc>
          <w:tcPr>
            <w:tcW w:w="18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Actual Performance</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2,016,000</w:t>
            </w:r>
          </w:p>
        </w:tc>
        <w:tc>
          <w:tcPr>
            <w:tcW w:w="1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3,487,680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576,000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636,352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1,100,889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636,352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1,100,889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548,000</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58"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incentive-eligible base salary amounts for the Named Executive Officers were as follows: Mr. Simoncini — $1,260,000; Mr. Vanneste — $720,000; Messrs. Scott and Larkin — $795,440; and Mr. Orsini — $685,000. The Target Amount for each Named Executive Officer is the respective incentive-eligible base salary multiplied by the respective Target Opportunity. The Target Amount multiplied by the Actual Performance (173%) represents the amount actually earned, as shown in the 2015 Incentive Amount column for each Named Executive Officer.</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Long-Term Incentives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long-term incentive component of our executive compensation program is designed to provide our senior management with performance-based award opportunities, to drive superior long-term performance and to</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align the interests of our senior management with those of our stockholders. To achieve these goals, we have adopted a “portfolio” approach that recognizes the strengths and weaknesses that various forms of long-term incentives provide.</w:t>
      </w:r>
    </w:p>
    <w:p>
      <w:pPr>
        <w:spacing w:after="0" w:line="11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2015 Awards. </w:t>
      </w:r>
      <w:r>
        <w:rPr>
          <w:rFonts w:ascii="Times New Roman" w:cs="Times New Roman" w:eastAsia="Times New Roman" w:hAnsi="Times New Roman"/>
          <w:sz w:val="18"/>
          <w:szCs w:val="18"/>
          <w:color w:val="auto"/>
        </w:rPr>
        <w:t>The Compensation Committee approved the 2015 long-term incentive program, which consisted of RSUs and equity-based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granted under the 2009 Long-Term Stock Incentive Plan (“LTSIP”) to certain officers and key employees, including to the Named Executive Officers. These awards generally were structured, consistent with market practices and the 2014 grants, such that recipients received 75% of the total target award value in the form of Performance Shares and the remaining 25% in service-based RSUs. The specific amounts and terms of these awards are shown in and following the “2015 Grants of Plan-Based Awards” table below. The target levels of Adjusted ROIC and Cumulative Pre-Tax Income performance for the Performance Shares were set based on the 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w:t>
      </w:r>
    </w:p>
    <w:p>
      <w:pPr>
        <w:spacing w:after="0" w:line="143" w:lineRule="exact"/>
        <w:rPr>
          <w:sz w:val="20"/>
          <w:szCs w:val="20"/>
          <w:color w:val="auto"/>
        </w:rPr>
      </w:pPr>
    </w:p>
    <w:p>
      <w:pPr>
        <w:ind w:right="2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Vesting of 2013 Performance Share Awards</w:t>
      </w:r>
      <w:r>
        <w:rPr>
          <w:rFonts w:ascii="Times New Roman" w:cs="Times New Roman" w:eastAsia="Times New Roman" w:hAnsi="Times New Roman"/>
          <w:sz w:val="18"/>
          <w:szCs w:val="18"/>
          <w:color w:val="auto"/>
        </w:rPr>
        <w:t>. In 2013, each of our Named Executive Officers received grants of Performance Shares for the 2013-2015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with terms similar to those of the 2015 awards described above. The RSUs that were granted at the same time as the 2013 Performance Shares (and represented 25% of the total equity award value at target) vested in February 2016.</w:t>
      </w:r>
    </w:p>
    <w:p>
      <w:pPr>
        <w:spacing w:after="0" w:line="1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threshold, target, maximum and actual Adjusted ROIC and Cumulative Pre-Tax Income levels for the 2013-2015 performance period are set forth above under the heading “Compensation Discussion and Analysis — Executive Summary – 2013-2015 Performance Shares.” If threshold, target or maximum were attained on these measures during the performance period, 50%, 100% or 200% of the target performance shares for each executive, respectively, would be earned.</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Adjusted ROIC (13.9%) was achieved at the maximum level and Cumulative Pre-Tax Income ($2,485 million) exceeded the target performance level, with the total award earned at 173% of target. Adjusted ROIC and Cumulative Pre-Tax Income are non-GAAP measures. Adjusted ROIC consists of Adjusted Operating Income (as defined in “— 2015 Incentive Programs — Annual Incentives” above) after taxes (assuming the highest U.S. Federal corporate income tax rate of 35%) divided by average invested capital for each fiscal year, excluding the Eagle Ottawa acquisition. Average invested capital consists of total assets plus the present value of operating leases, less accounts payable and drafts and accrued liabilities, and investments in unconsolidated entities, and certain other adjustments. Cumulative Pre-Tax Income is Lear’s cumulative net income for the performance period before a provision for income taxes, excluding the Eagle Ottawa acquisition. The resulting share amounts earned by our Named Executive Officers are shown below:</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2013-2015 Performance Shares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w:t>
            </w:r>
          </w:p>
        </w:tc>
      </w:tr>
      <w:tr>
        <w:trPr>
          <w:trHeight w:val="149"/>
        </w:trPr>
        <w:tc>
          <w:tcPr>
            <w:tcW w:w="33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Actual</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 Amount</w:t>
            </w:r>
          </w:p>
        </w:tc>
      </w:tr>
      <w:tr>
        <w:trPr>
          <w:trHeight w:val="165"/>
        </w:trPr>
        <w:tc>
          <w:tcPr>
            <w:tcW w:w="33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Shares (#)</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Performance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Earned (#)</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48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93,952</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162,536</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5380" w:type="dxa"/>
            <w:vAlign w:val="bottom"/>
            <w:gridSpan w:val="2"/>
          </w:tcPr>
          <w:p>
            <w:pPr>
              <w:jc w:val="center"/>
              <w:ind w:left="4692"/>
              <w:spacing w:after="0"/>
              <w:rPr>
                <w:sz w:val="20"/>
                <w:szCs w:val="20"/>
                <w:color w:val="auto"/>
              </w:rPr>
            </w:pPr>
            <w:r>
              <w:rPr>
                <w:rFonts w:ascii="Times New Roman" w:cs="Times New Roman" w:eastAsia="Times New Roman" w:hAnsi="Times New Roman"/>
                <w:sz w:val="18"/>
                <w:szCs w:val="18"/>
                <w:color w:val="auto"/>
                <w:w w:val="96"/>
              </w:rPr>
              <w:t>24,928</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43,125</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5380" w:type="dxa"/>
            <w:vAlign w:val="bottom"/>
            <w:gridSpan w:val="2"/>
            <w:shd w:val="clear" w:color="auto" w:fill="CCEEFF"/>
          </w:tcPr>
          <w:p>
            <w:pPr>
              <w:jc w:val="center"/>
              <w:ind w:left="4692"/>
              <w:spacing w:after="0"/>
              <w:rPr>
                <w:sz w:val="20"/>
                <w:szCs w:val="20"/>
                <w:color w:val="auto"/>
              </w:rPr>
            </w:pPr>
            <w:r>
              <w:rPr>
                <w:rFonts w:ascii="Times New Roman" w:cs="Times New Roman" w:eastAsia="Times New Roman" w:hAnsi="Times New Roman"/>
                <w:sz w:val="18"/>
                <w:szCs w:val="18"/>
                <w:color w:val="auto"/>
                <w:w w:val="96"/>
              </w:rPr>
              <w:t>29,833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51,611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5380" w:type="dxa"/>
            <w:vAlign w:val="bottom"/>
            <w:gridSpan w:val="2"/>
          </w:tcPr>
          <w:p>
            <w:pPr>
              <w:jc w:val="center"/>
              <w:ind w:left="4692"/>
              <w:spacing w:after="0"/>
              <w:rPr>
                <w:sz w:val="20"/>
                <w:szCs w:val="20"/>
                <w:color w:val="auto"/>
              </w:rPr>
            </w:pPr>
            <w:r>
              <w:rPr>
                <w:rFonts w:ascii="Times New Roman" w:cs="Times New Roman" w:eastAsia="Times New Roman" w:hAnsi="Times New Roman"/>
                <w:sz w:val="18"/>
                <w:szCs w:val="18"/>
                <w:color w:val="auto"/>
                <w:w w:val="96"/>
              </w:rPr>
              <w:t>29,833</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51,611</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5380" w:type="dxa"/>
            <w:vAlign w:val="bottom"/>
            <w:gridSpan w:val="2"/>
            <w:shd w:val="clear" w:color="auto" w:fill="CCEEFF"/>
          </w:tcPr>
          <w:p>
            <w:pPr>
              <w:jc w:val="center"/>
              <w:ind w:left="4692"/>
              <w:spacing w:after="0"/>
              <w:rPr>
                <w:sz w:val="20"/>
                <w:szCs w:val="20"/>
                <w:color w:val="auto"/>
              </w:rPr>
            </w:pPr>
            <w:r>
              <w:rPr>
                <w:rFonts w:ascii="Times New Roman" w:cs="Times New Roman" w:eastAsia="Times New Roman" w:hAnsi="Times New Roman"/>
                <w:sz w:val="18"/>
                <w:szCs w:val="18"/>
                <w:color w:val="auto"/>
                <w:w w:val="96"/>
              </w:rPr>
              <w:t>21,936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37,949</w:t>
            </w:r>
          </w:p>
        </w:tc>
      </w:tr>
      <w:tr>
        <w:trPr>
          <w:trHeight w:val="363"/>
        </w:trPr>
        <w:tc>
          <w:tcPr>
            <w:tcW w:w="3340" w:type="dxa"/>
            <w:vAlign w:val="bottom"/>
          </w:tcPr>
          <w:p>
            <w:pPr>
              <w:spacing w:after="0"/>
              <w:rPr>
                <w:sz w:val="24"/>
                <w:szCs w:val="24"/>
                <w:color w:val="auto"/>
              </w:rPr>
            </w:pPr>
          </w:p>
        </w:tc>
        <w:tc>
          <w:tcPr>
            <w:tcW w:w="4800" w:type="dxa"/>
            <w:vAlign w:val="bottom"/>
          </w:tcPr>
          <w:p>
            <w:pPr>
              <w:jc w:val="right"/>
              <w:ind w:right="2652"/>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Stock Ownership Guidelines</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management stock ownership guidelines provide that our executive officers achieve specified stock ownership levels based on a multiple of each executive officer’s base salary. The stock ownership guidelines were intended to create a strong link between our long-term success and the ultimate compensation of our executive officers. Under the guidelines, unvested awards generally do not count towards the goal (except that 60% of RSUs awarded count towards the goal once they are within 24 months of vesting) and until an executive meets the goal, he or she must hold 50% of the net shares acquired upon the vesting of equity awards. The stock ownership levels which must be achieved by our executive officers are as follows: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940" w:type="dxa"/>
            <w:vAlign w:val="bottom"/>
            <w:gridSpan w:val="2"/>
          </w:tcPr>
          <w:p>
            <w:pPr>
              <w:jc w:val="center"/>
              <w:ind w:left="1912"/>
              <w:spacing w:after="0"/>
              <w:rPr>
                <w:sz w:val="20"/>
                <w:szCs w:val="20"/>
                <w:color w:val="auto"/>
              </w:rPr>
            </w:pPr>
            <w:r>
              <w:rPr>
                <w:rFonts w:ascii="Times New Roman" w:cs="Times New Roman" w:eastAsia="Times New Roman" w:hAnsi="Times New Roman"/>
                <w:sz w:val="14"/>
                <w:szCs w:val="14"/>
                <w:b w:val="1"/>
                <w:bCs w:val="1"/>
                <w:color w:val="auto"/>
                <w:w w:val="95"/>
              </w:rPr>
              <w:t>Required Share Ownership Level</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3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(multiple of incentive eligible</w:t>
            </w:r>
          </w:p>
        </w:tc>
        <w:tc>
          <w:tcPr>
            <w:tcW w:w="0" w:type="dxa"/>
            <w:vAlign w:val="bottom"/>
          </w:tcPr>
          <w:p>
            <w:pPr>
              <w:spacing w:after="0"/>
              <w:rPr>
                <w:sz w:val="1"/>
                <w:szCs w:val="1"/>
                <w:color w:val="auto"/>
              </w:rPr>
            </w:pPr>
          </w:p>
        </w:tc>
      </w:tr>
      <w:tr>
        <w:trPr>
          <w:trHeight w:val="172"/>
        </w:trPr>
        <w:tc>
          <w:tcPr>
            <w:tcW w:w="50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9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base salary)</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w:t>
            </w:r>
          </w:p>
        </w:tc>
        <w:tc>
          <w:tcPr>
            <w:tcW w:w="20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6X</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Presidents</w:t>
            </w:r>
          </w:p>
        </w:tc>
        <w:tc>
          <w:tcPr>
            <w:tcW w:w="20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3X</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Presidents</w:t>
            </w: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3X</w:t>
            </w:r>
          </w:p>
        </w:tc>
        <w:tc>
          <w:tcPr>
            <w:tcW w:w="0" w:type="dxa"/>
            <w:vAlign w:val="bottom"/>
          </w:tcPr>
          <w:p>
            <w:pPr>
              <w:spacing w:after="0"/>
              <w:rPr>
                <w:sz w:val="1"/>
                <w:szCs w:val="1"/>
                <w:color w:val="auto"/>
              </w:rPr>
            </w:pPr>
          </w:p>
        </w:tc>
      </w:tr>
      <w:tr>
        <w:trPr>
          <w:trHeight w:val="22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Executive Officers</w:t>
            </w:r>
          </w:p>
        </w:tc>
        <w:tc>
          <w:tcPr>
            <w:tcW w:w="20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1.5X</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Share ownership targets for executives reaching age 60 are reduced by 10% annually up to a maximum reduction of 50%. Our stock ownership guidelines are reviewed periodically to ensure ongoing market competitiveness and reasonableness. As of our latest measurement date of December 31, 2015, all of our Named Executive Officers have met their respective ownership guideline levels.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Policy</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do not time the grant of equity awards in coordination with the release of material non-public information. Our equity awards are generally approved on the dates of our regularly scheduled Compensation Committee meetings and are effective as of such dates or specified prospective dates. The Compensation Committee has approved and formalized our equity award policy. It provides that the effective grant date of equity awards must be either the date of Compensation Committee or other committee approval or some future date specifically identified in such approval. If such awards are granted, the exercise price of stock options and grant price of Stock Appreciation Rights shall be the closing market price of our common stock on the grant date. The Compensation Committee must approve all awards to our executive officers. The policy also allows the Compensation Committee to delegate to the CEO the ability to grant equity awards to non-executive officer employees who are newly hired or promoted or deemed to be deserving of special retention or recognition awards. In addition, the aggregate award pool to non-executive officers must be approved by the Compensation Committee but may be allocated to individual employees by the CEO.</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Named Executive Officers participate in our retirement savings plan, qualified pension plan, pension equalization plan and supplemental savings plan, as eligible. The general terms of these plans and formulas for calculating benefits are summarized following the 2015 Summary Compensation Table, 2015 Pension Benefits table and 2015 Nonqualified Deferred Compensation table, respectively, in “Executive Compensation.” These benefits provide rewards for long-term service to the Company and an income source in an executive’s post-employment years. The various components of our retirement benefit program (including our frozen defined benefit pension plans) disclosed in this proxy statement are summarized in the table below.</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Retirement Benefits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2180" w:type="dxa"/>
            <w:vAlign w:val="bottom"/>
            <w:tcBorders>
              <w:top w:val="single" w:sz="8" w:color="auto"/>
              <w:left w:val="single" w:sz="8" w:color="auto"/>
              <w:right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0" w:type="dxa"/>
            <w:vAlign w:val="bottom"/>
            <w:tcBorders>
              <w:top w:val="single" w:sz="8" w:color="auto"/>
              <w:right w:val="single" w:sz="8" w:color="auto"/>
            </w:tcBorders>
            <w:shd w:val="clear" w:color="auto" w:fill="CCEEFF"/>
          </w:tcPr>
          <w:p>
            <w:pPr>
              <w:spacing w:after="0"/>
              <w:rPr>
                <w:sz w:val="12"/>
                <w:szCs w:val="12"/>
                <w:color w:val="auto"/>
              </w:rPr>
            </w:pPr>
          </w:p>
        </w:tc>
        <w:tc>
          <w:tcPr>
            <w:tcW w:w="2400" w:type="dxa"/>
            <w:vAlign w:val="bottom"/>
            <w:tcBorders>
              <w:top w:val="single" w:sz="8" w:color="auto"/>
              <w:right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80" w:type="dxa"/>
            <w:vAlign w:val="bottom"/>
            <w:tcBorders>
              <w:top w:val="single" w:sz="8" w:color="auto"/>
              <w:right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Pages for</w:t>
            </w: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tcBorders>
              <w:right w:val="single" w:sz="8" w:color="auto"/>
            </w:tcBorders>
            <w:shd w:val="clear" w:color="auto" w:fill="CCEEFF"/>
          </w:tcPr>
          <w:p>
            <w:pPr>
              <w:spacing w:after="0"/>
              <w:rPr>
                <w:sz w:val="12"/>
                <w:szCs w:val="12"/>
                <w:color w:val="auto"/>
              </w:rPr>
            </w:pPr>
          </w:p>
        </w:tc>
        <w:tc>
          <w:tcPr>
            <w:tcW w:w="24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Further</w:t>
            </w:r>
          </w:p>
        </w:tc>
        <w:tc>
          <w:tcPr>
            <w:tcW w:w="0" w:type="dxa"/>
            <w:vAlign w:val="bottom"/>
          </w:tcPr>
          <w:p>
            <w:pPr>
              <w:spacing w:after="0"/>
              <w:rPr>
                <w:sz w:val="1"/>
                <w:szCs w:val="1"/>
                <w:color w:val="auto"/>
              </w:rPr>
            </w:pPr>
          </w:p>
        </w:tc>
      </w:tr>
      <w:tr>
        <w:trPr>
          <w:trHeight w:val="179"/>
        </w:trPr>
        <w:tc>
          <w:tcPr>
            <w:tcW w:w="2180" w:type="dxa"/>
            <w:vAlign w:val="bottom"/>
            <w:tcBorders>
              <w:left w:val="single" w:sz="8" w:color="auto"/>
              <w:bottom w:val="single" w:sz="8" w:color="auto"/>
              <w:right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 w:type="dxa"/>
            <w:vAlign w:val="bottom"/>
            <w:tcBorders>
              <w:bottom w:val="single" w:sz="8" w:color="auto"/>
            </w:tcBorders>
            <w:shd w:val="clear" w:color="auto" w:fill="CCEEFF"/>
          </w:tcPr>
          <w:p>
            <w:pPr>
              <w:spacing w:after="0"/>
              <w:rPr>
                <w:sz w:val="15"/>
                <w:szCs w:val="15"/>
                <w:color w:val="auto"/>
              </w:rPr>
            </w:pPr>
          </w:p>
        </w:tc>
        <w:tc>
          <w:tcPr>
            <w:tcW w:w="3200" w:type="dxa"/>
            <w:vAlign w:val="bottom"/>
            <w:tcBorders>
              <w:bottom w:val="single" w:sz="8" w:color="auto"/>
              <w:right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b w:val="1"/>
                <w:bCs w:val="1"/>
                <w:color w:val="auto"/>
              </w:rPr>
              <w:t>Plan/Program</w:t>
            </w:r>
          </w:p>
        </w:tc>
        <w:tc>
          <w:tcPr>
            <w:tcW w:w="240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Component/Feature</w:t>
            </w:r>
          </w:p>
        </w:tc>
        <w:tc>
          <w:tcPr>
            <w:tcW w:w="80" w:type="dxa"/>
            <w:vAlign w:val="bottom"/>
            <w:tcBorders>
              <w:bottom w:val="single" w:sz="8" w:color="auto"/>
            </w:tcBorders>
            <w:shd w:val="clear" w:color="auto" w:fill="CCEEFF"/>
          </w:tcPr>
          <w:p>
            <w:pPr>
              <w:spacing w:after="0"/>
              <w:rPr>
                <w:sz w:val="15"/>
                <w:szCs w:val="15"/>
                <w:color w:val="auto"/>
              </w:rPr>
            </w:pP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Purpose</w:t>
            </w:r>
          </w:p>
        </w:tc>
        <w:tc>
          <w:tcPr>
            <w:tcW w:w="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Details</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Defined Contribution</w:t>
            </w: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Salaried Retirement Program (Qualified)</w:t>
            </w: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Deferral</w:t>
            </w: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Standard 401(k) plan</w:t>
            </w:r>
          </w:p>
        </w:tc>
        <w:tc>
          <w:tcPr>
            <w:tcW w:w="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Match</w:t>
            </w: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and matching contribution</w:t>
            </w:r>
          </w:p>
        </w:tc>
        <w:tc>
          <w:tcPr>
            <w:tcW w:w="80" w:type="dxa"/>
            <w:vAlign w:val="bottom"/>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 to 44</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Pension Savings Plan</w:t>
            </w: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Main retirement program</w:t>
            </w: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Salaried Retirement Restoration Program</w:t>
            </w:r>
          </w:p>
        </w:tc>
        <w:tc>
          <w:tcPr>
            <w:tcW w:w="24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Deferral</w:t>
            </w:r>
          </w:p>
        </w:tc>
        <w:tc>
          <w:tcPr>
            <w:tcW w:w="216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Excess programs for</w:t>
            </w:r>
          </w:p>
        </w:tc>
        <w:tc>
          <w:tcPr>
            <w:tcW w:w="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18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(Non-Qualified)</w:t>
            </w:r>
          </w:p>
        </w:tc>
        <w:tc>
          <w:tcPr>
            <w:tcW w:w="24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gridSpan w:val="2"/>
            <w:vMerge w:val="continue"/>
          </w:tcPr>
          <w:p>
            <w:pPr>
              <w:spacing w:after="0"/>
              <w:rPr>
                <w:sz w:val="9"/>
                <w:szCs w:val="9"/>
                <w:color w:val="auto"/>
              </w:rPr>
            </w:pPr>
          </w:p>
        </w:tc>
        <w:tc>
          <w:tcPr>
            <w:tcW w:w="14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43;</w:t>
            </w: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Borders>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amounts above</w:t>
            </w:r>
          </w:p>
        </w:tc>
        <w:tc>
          <w:tcPr>
            <w:tcW w:w="14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18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Borders>
              <w:right w:val="single" w:sz="8" w:color="auto"/>
            </w:tcBorders>
          </w:tcPr>
          <w:p>
            <w:pPr>
              <w:spacing w:after="0"/>
              <w:rPr>
                <w:sz w:val="6"/>
                <w:szCs w:val="6"/>
                <w:color w:val="auto"/>
              </w:rPr>
            </w:pPr>
          </w:p>
        </w:tc>
        <w:tc>
          <w:tcPr>
            <w:tcW w:w="2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Company Match</w:t>
            </w:r>
          </w:p>
        </w:tc>
        <w:tc>
          <w:tcPr>
            <w:tcW w:w="80" w:type="dxa"/>
            <w:vAlign w:val="bottom"/>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51 to 52</w:t>
            </w:r>
          </w:p>
        </w:tc>
        <w:tc>
          <w:tcPr>
            <w:tcW w:w="0" w:type="dxa"/>
            <w:vAlign w:val="bottom"/>
          </w:tcPr>
          <w:p>
            <w:pPr>
              <w:spacing w:after="0"/>
              <w:rPr>
                <w:sz w:val="1"/>
                <w:szCs w:val="1"/>
                <w:color w:val="auto"/>
              </w:rPr>
            </w:pPr>
          </w:p>
        </w:tc>
      </w:tr>
      <w:tr>
        <w:trPr>
          <w:trHeight w:val="141"/>
        </w:trPr>
        <w:tc>
          <w:tcPr>
            <w:tcW w:w="218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0" w:type="dxa"/>
            <w:vAlign w:val="bottom"/>
            <w:tcBorders>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qualified plan limits</w:t>
            </w:r>
          </w:p>
        </w:tc>
        <w:tc>
          <w:tcPr>
            <w:tcW w:w="80" w:type="dxa"/>
            <w:vAlign w:val="bottom"/>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18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Borders>
              <w:right w:val="single" w:sz="8" w:color="auto"/>
            </w:tcBorders>
          </w:tcPr>
          <w:p>
            <w:pPr>
              <w:spacing w:after="0"/>
              <w:rPr>
                <w:sz w:val="6"/>
                <w:szCs w:val="6"/>
                <w:color w:val="auto"/>
              </w:rPr>
            </w:pPr>
          </w:p>
        </w:tc>
        <w:tc>
          <w:tcPr>
            <w:tcW w:w="2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Pension Savings Plan</w:t>
            </w:r>
          </w:p>
        </w:tc>
        <w:tc>
          <w:tcPr>
            <w:tcW w:w="80" w:type="dxa"/>
            <w:vAlign w:val="bottom"/>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Defined Benefit </w:t>
            </w:r>
            <w:r>
              <w:rPr>
                <w:rFonts w:ascii="Times New Roman" w:cs="Times New Roman" w:eastAsia="Times New Roman" w:hAnsi="Times New Roman"/>
                <w:sz w:val="18"/>
                <w:szCs w:val="18"/>
                <w:b w:val="1"/>
                <w:bCs w:val="1"/>
                <w:i w:val="1"/>
                <w:iCs w:val="1"/>
                <w:color w:val="auto"/>
              </w:rPr>
              <w:t>(frozen as</w:t>
            </w:r>
          </w:p>
        </w:tc>
        <w:tc>
          <w:tcPr>
            <w:tcW w:w="10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Lear Corporation Pension Plan</w:t>
            </w:r>
          </w:p>
        </w:tc>
        <w:tc>
          <w:tcPr>
            <w:tcW w:w="240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 xml:space="preserve">Qualified Pension Plan </w:t>
            </w:r>
            <w:r>
              <w:rPr>
                <w:rFonts w:ascii="Times New Roman" w:cs="Times New Roman" w:eastAsia="Times New Roman" w:hAnsi="Times New Roman"/>
                <w:sz w:val="18"/>
                <w:szCs w:val="18"/>
                <w:b w:val="1"/>
                <w:bCs w:val="1"/>
                <w:i w:val="1"/>
                <w:iCs w:val="1"/>
                <w:color w:val="auto"/>
                <w:w w:val="98"/>
              </w:rPr>
              <w:t>(frozen)</w:t>
            </w:r>
          </w:p>
        </w:tc>
        <w:tc>
          <w:tcPr>
            <w:tcW w:w="8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 to 51</w:t>
            </w:r>
          </w:p>
        </w:tc>
        <w:tc>
          <w:tcPr>
            <w:tcW w:w="0" w:type="dxa"/>
            <w:vAlign w:val="bottom"/>
          </w:tcPr>
          <w:p>
            <w:pPr>
              <w:spacing w:after="0"/>
              <w:rPr>
                <w:sz w:val="1"/>
                <w:szCs w:val="1"/>
                <w:color w:val="auto"/>
              </w:rPr>
            </w:pPr>
          </w:p>
        </w:tc>
      </w:tr>
      <w:tr>
        <w:trPr>
          <w:trHeight w:val="244"/>
        </w:trPr>
        <w:tc>
          <w:tcPr>
            <w:tcW w:w="218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 12/31/06)</w:t>
            </w:r>
          </w:p>
        </w:tc>
        <w:tc>
          <w:tcPr>
            <w:tcW w:w="100" w:type="dxa"/>
            <w:vAlign w:val="bottom"/>
            <w:tcBorders>
              <w:bottom w:val="single" w:sz="8" w:color="auto"/>
            </w:tcBorders>
            <w:shd w:val="clear" w:color="auto" w:fill="CCEEFF"/>
          </w:tcPr>
          <w:p>
            <w:pPr>
              <w:spacing w:after="0"/>
              <w:rPr>
                <w:sz w:val="21"/>
                <w:szCs w:val="21"/>
                <w:color w:val="auto"/>
              </w:rPr>
            </w:pPr>
          </w:p>
        </w:tc>
        <w:tc>
          <w:tcPr>
            <w:tcW w:w="32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Equalization Program</w:t>
            </w:r>
          </w:p>
        </w:tc>
        <w:tc>
          <w:tcPr>
            <w:tcW w:w="240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 of SERP (</w:t>
            </w:r>
            <w:r>
              <w:rPr>
                <w:rFonts w:ascii="Times New Roman" w:cs="Times New Roman" w:eastAsia="Times New Roman" w:hAnsi="Times New Roman"/>
                <w:sz w:val="18"/>
                <w:szCs w:val="18"/>
                <w:b w:val="1"/>
                <w:bCs w:val="1"/>
                <w:i w:val="1"/>
                <w:iCs w:val="1"/>
                <w:color w:val="auto"/>
              </w:rPr>
              <w:t>frozen</w:t>
            </w: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66"/>
        </w:trPr>
        <w:tc>
          <w:tcPr>
            <w:tcW w:w="2180" w:type="dxa"/>
            <w:vAlign w:val="bottom"/>
            <w:tcBorders>
              <w:left w:val="single" w:sz="8" w:color="auto"/>
              <w:right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0" w:type="dxa"/>
            <w:vAlign w:val="bottom"/>
            <w:tcBorders>
              <w:right w:val="single" w:sz="8" w:color="auto"/>
            </w:tcBorders>
            <w:vMerge w:val="restart"/>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Salaried Retirement Restoration Program</w:t>
            </w:r>
          </w:p>
        </w:tc>
        <w:tc>
          <w:tcPr>
            <w:tcW w:w="2400" w:type="dxa"/>
            <w:vAlign w:val="bottom"/>
            <w:tcBorders>
              <w:right w:val="single" w:sz="8" w:color="auto"/>
            </w:tcBorders>
            <w:vMerge w:val="restart"/>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Part of SERP (</w:t>
            </w:r>
            <w:r>
              <w:rPr>
                <w:rFonts w:ascii="Times New Roman" w:cs="Times New Roman" w:eastAsia="Times New Roman" w:hAnsi="Times New Roman"/>
                <w:sz w:val="18"/>
                <w:szCs w:val="18"/>
                <w:b w:val="1"/>
                <w:bCs w:val="1"/>
                <w:i w:val="1"/>
                <w:iCs w:val="1"/>
                <w:color w:val="auto"/>
              </w:rPr>
              <w:t>frozen</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5"/>
                <w:szCs w:val="5"/>
                <w:color w:val="auto"/>
              </w:rPr>
            </w:pPr>
          </w:p>
        </w:tc>
        <w:tc>
          <w:tcPr>
            <w:tcW w:w="2080" w:type="dxa"/>
            <w:vAlign w:val="bottom"/>
            <w:tcBorders>
              <w:right w:val="single" w:sz="8" w:color="auto"/>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36"/>
        </w:trPr>
        <w:tc>
          <w:tcPr>
            <w:tcW w:w="2180" w:type="dxa"/>
            <w:vAlign w:val="bottom"/>
            <w:tcBorders>
              <w:left w:val="single" w:sz="8" w:color="auto"/>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0" w:type="dxa"/>
            <w:vAlign w:val="bottom"/>
            <w:tcBorders>
              <w:right w:val="single" w:sz="8" w:color="auto"/>
            </w:tcBorders>
            <w:vMerge w:val="continue"/>
            <w:shd w:val="clear" w:color="auto" w:fill="CCEEFF"/>
          </w:tcPr>
          <w:p>
            <w:pPr>
              <w:spacing w:after="0"/>
              <w:rPr>
                <w:sz w:val="11"/>
                <w:szCs w:val="11"/>
                <w:color w:val="auto"/>
              </w:rPr>
            </w:pPr>
          </w:p>
        </w:tc>
        <w:tc>
          <w:tcPr>
            <w:tcW w:w="2400" w:type="dxa"/>
            <w:vAlign w:val="bottom"/>
            <w:tcBorders>
              <w:right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80" w:type="dxa"/>
            <w:vAlign w:val="bottom"/>
            <w:tcBorders>
              <w:left w:val="single" w:sz="8" w:color="auto"/>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Makeup)</w:t>
            </w:r>
          </w:p>
        </w:tc>
        <w:tc>
          <w:tcPr>
            <w:tcW w:w="24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18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32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2400" w:type="dxa"/>
            <w:vAlign w:val="bottom"/>
            <w:tcBorders>
              <w:bottom w:val="single" w:sz="8" w:color="auto"/>
              <w:right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2080" w:type="dxa"/>
            <w:vAlign w:val="bottom"/>
            <w:tcBorders>
              <w:bottom w:val="single" w:sz="8" w:color="auto"/>
              <w:right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132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1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7"/>
                <w:szCs w:val="17"/>
                <w:color w:val="auto"/>
              </w:rPr>
            </w:pPr>
          </w:p>
        </w:tc>
        <w:tc>
          <w:tcPr>
            <w:tcW w:w="320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Career Share (RSUs)</w:t>
            </w:r>
          </w:p>
        </w:tc>
        <w:tc>
          <w:tcPr>
            <w:tcW w:w="240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Shares not distributed until</w:t>
            </w:r>
          </w:p>
        </w:tc>
        <w:tc>
          <w:tcPr>
            <w:tcW w:w="80" w:type="dxa"/>
            <w:vAlign w:val="bottom"/>
          </w:tcPr>
          <w:p>
            <w:pPr>
              <w:spacing w:after="0"/>
              <w:rPr>
                <w:sz w:val="17"/>
                <w:szCs w:val="17"/>
                <w:color w:val="auto"/>
              </w:rPr>
            </w:pPr>
          </w:p>
        </w:tc>
        <w:tc>
          <w:tcPr>
            <w:tcW w:w="20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Intended to facilitate</w:t>
            </w:r>
          </w:p>
        </w:tc>
        <w:tc>
          <w:tcPr>
            <w:tcW w:w="8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earlier of age 62 or after</w:t>
            </w: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attraction and retention, and</w:t>
            </w:r>
          </w:p>
        </w:tc>
        <w:tc>
          <w:tcPr>
            <w:tcW w:w="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retirement.</w:t>
            </w: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reward key/high performers</w:t>
            </w:r>
          </w:p>
        </w:tc>
        <w:tc>
          <w:tcPr>
            <w:tcW w:w="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with grant levels set</w:t>
            </w:r>
          </w:p>
        </w:tc>
        <w:tc>
          <w:tcPr>
            <w:tcW w:w="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considering various factors,</w:t>
            </w:r>
          </w:p>
        </w:tc>
        <w:tc>
          <w:tcPr>
            <w:tcW w:w="80" w:type="dxa"/>
            <w:vAlign w:val="bottom"/>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 to 46;</w:t>
            </w: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including performance,</w:t>
            </w:r>
          </w:p>
        </w:tc>
        <w:tc>
          <w:tcPr>
            <w:tcW w:w="14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future potential and</w:t>
            </w:r>
          </w:p>
        </w:tc>
        <w:tc>
          <w:tcPr>
            <w:tcW w:w="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competitiveness of</w:t>
            </w:r>
          </w:p>
        </w:tc>
        <w:tc>
          <w:tcPr>
            <w:tcW w:w="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retirement benefits and total</w:t>
            </w:r>
          </w:p>
        </w:tc>
        <w:tc>
          <w:tcPr>
            <w:tcW w:w="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80" w:type="dxa"/>
            <w:vAlign w:val="bottom"/>
            <w:tcBorders>
              <w:left w:val="single" w:sz="8" w:color="auto"/>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pay.</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Agreements/Termination/Change in Control Benefits</w:t>
      </w:r>
    </w:p>
    <w:p>
      <w:pPr>
        <w:spacing w:after="0" w:line="92"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As described in detail and quantified in “Executive Compensation — Potential Payments Upon Termination or Change in Control,” our Named Executive Officers receive certain benefits under their employment agreements upon their termination by the Company without “cause” or upon their resignation for “good reason,” including such terminations following a change in control of the Company. They also receive, as do all</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40"/>
          </w:cols>
          <w:pgMar w:left="240" w:top="455" w:right="2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employees who hold equity awards under the amended LTSIP (described below), accelerated vesting of equity awards if their employment is terminated without cause or for good reason in connection with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“double-trigger” vesting of equity awards protect employees in the event of a change in control and ensure an orderly transition of leadership. The Compensation Committee regularly reviews termination and change in control benefits and continues to believe that the severance benefits in connection with certain terminations of employment constitute reasonable levels of protection for our executives. The LTSIP provides for double-trigger vesting of equity awards (that are not assumed or replaced by the successor company) upon a change in control of the Company.</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the employment agreements with the Company’s executive officers contains an excise tax gross-up provision.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Welfare and Certain Other Benefits</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 with approval of the Chairman of the Board or Chairman of the Compensation Committee. The Company does not provide tax gross-up payments for the imputed income associated with personal use of corporate aircraft. In 2015, there was no personal use of corporate aircraft.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Compensation</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Mr. Simoncini’s base salary is currently $1,354,500 (with an incentive-eligible salary of $1,260,000). His employment agreement provides for severance benefits equal to two times his base salary and target annual incentive amount upon his termination by the Company without “cause” or upon his resignation for “good reason” and restrictive covenants relating to non-competition, confidential information and non-solicitation of the Company’s employees and customers. Mr. Simoncini’s agreement does not provide for change in control excise tax gross-up payments. Mr. Simoncini is eligible for awards under the Company’s annual and long-term incentive plans and to participate in the Company’s other benefit plans and programs, in effect from time to time. His target annual incentive compensation is currently 160% of his base salary (for 2015 and 2016) based on his strong leadership of the Company and market median compensation levels.</w:t>
      </w:r>
    </w:p>
    <w:p>
      <w:pPr>
        <w:spacing w:after="0" w:line="14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CEO has traditionally received a lower percentage of his total compensation in the form of fixed amounts like base salary relative to our other executives in order to link more closely his compensation to the performance of the Company. Additionally, our CEO’s required stock ownership level is greater than that of our other executives under our stock ownership guidelines.</w:t>
      </w:r>
    </w:p>
    <w:p>
      <w:pPr>
        <w:spacing w:after="0" w:line="13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Base salaries for our executive officers are established at levels considered appropriate in light of the duties and scope of responsibilities of each officer’s position.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Our CEO’s base salary and total compensation are reviewed by the Compensation Committee in conjunction with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92"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The Company maintains a formal clawback policy (the “Clawback Policy”) that applies to all incentive based cash and equity compensation awards granted on or after the effective date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 during the three-year period preceding the date on which the Company is required to prepare an accounting restatement, based on the erroneous data, the amount, if any, in excess of what would have been paid to the Covered Recipient under the accounting restatement.</w:t>
      </w:r>
    </w:p>
    <w:p>
      <w:pPr>
        <w:spacing w:after="0" w:line="141"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The Clawback Policy is administered by the Compensation Committee, which has the sole discretion in making all determinations under the Clawback Policy. The Clawback Policy will be interpreted and administered (and, as necessary, amended to be) consistent with the applicable requirements of Section 10D of the Exchange Act, as added by Section 954 of the Dodd-Frank Wall Street Reform and Consumer Protection Act, and any official guidance issued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Hedging/Pledging Policy</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maintains a formal policy prohibiting officers and directors from (i) entering into hedging or monetization transactions involving our Company stock and (ii) holding our Company stock in a margin account or pledging our Company stock as collateral for a loan. Exceptions to the pledging prohibition may be granted by the Company’s General Counsel upon two weeks’ advance notice if the person clearly demonstrates the financial capacity to repay the loan without resort to the pledged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Treatment of Executive Compensation</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One of the factors the Compensation Committee considers when determining compensation is the anticipated tax treatment to the Company and to the executives of the various payments and benefits. Section 162(m) of the Internal Revenue Code disallows the deduction of non-performance based compensation in excess of $1,000,000 paid to the CEO (or an individual acting in such a capacity), and the three next highest compensated officers other than the CFO (or an individual acting in such a capacity) appearing in the 2015 Summary Compensation Table. The Compensation Committee generally considers this limit when determining compensation; however, there are instances in which the Compensation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For example, in 2015, Mr. Simoncini received a base salary of $1,306,125, with a total of $306,125 being non-deductible to the Company. In setting Mr. Simoncini’s base salary level, the Compensation Committee weighed the cost of this non-deductible compensation against the benefit of awarding competitive compensation to our CEO.</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Accounting Treatment</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have generally considered the accounting treatment of various forms of awards in determining the components of our overall compensation program. We have generally sought to grant stock-settled equity awards to executives, which receive fixed accounting treatment, as opposed to cash-settled equity awards, which receive variable accounting treatment. We intend to continue to evaluate these factors in the future.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455"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shows information concerning the annual compensation for services to the Company and its subsidiaries in all capacities of the CEO, CFO and the other Named Executive Officers during the last completed fiscal year. The footnotes accompanying the 2015 Summary Compensation Table generally explain amounts reported for 2015, unless otherwise noted. In accordance with SEC rules, compensation for 2013 is not shown for Mr. Orsini because he was not a Named Executive Officer in that year.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SUMMARY COMPENSATION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Pension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Non-Equity</w:t>
            </w: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Nonqualified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14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4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87"/>
              </w:rPr>
              <w:t>Year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39" w:lineRule="exact"/>
              <w:rPr>
                <w:sz w:val="20"/>
                <w:szCs w:val="20"/>
                <w:color w:val="auto"/>
              </w:rPr>
            </w:pPr>
            <w:r>
              <w:rPr>
                <w:rFonts w:ascii="Times New Roman" w:cs="Times New Roman" w:eastAsia="Times New Roman" w:hAnsi="Times New Roman"/>
                <w:sz w:val="14"/>
                <w:szCs w:val="14"/>
                <w:b w:val="1"/>
                <w:bCs w:val="1"/>
                <w:color w:val="auto"/>
              </w:rPr>
              <w:t>Salary</w:t>
            </w:r>
          </w:p>
        </w:tc>
        <w:tc>
          <w:tcPr>
            <w:tcW w:w="50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Bonus</w:t>
            </w:r>
          </w:p>
        </w:tc>
        <w:tc>
          <w:tcPr>
            <w:tcW w:w="68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80" w:type="dxa"/>
            <w:vAlign w:val="bottom"/>
          </w:tcPr>
          <w:p>
            <w:pPr>
              <w:spacing w:after="0"/>
              <w:rPr>
                <w:sz w:val="12"/>
                <w:szCs w:val="12"/>
                <w:color w:val="auto"/>
              </w:rPr>
            </w:pPr>
          </w:p>
        </w:tc>
        <w:tc>
          <w:tcPr>
            <w:tcW w:w="4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w w:val="89"/>
              </w:rPr>
              <w:t>Awards</w:t>
            </w:r>
          </w:p>
        </w:tc>
        <w:tc>
          <w:tcPr>
            <w:tcW w:w="160" w:type="dxa"/>
            <w:vAlign w:val="bottom"/>
          </w:tcPr>
          <w:p>
            <w:pPr>
              <w:spacing w:after="0"/>
              <w:rPr>
                <w:sz w:val="12"/>
                <w:szCs w:val="12"/>
                <w:color w:val="auto"/>
              </w:rPr>
            </w:pPr>
          </w:p>
        </w:tc>
        <w:tc>
          <w:tcPr>
            <w:tcW w:w="98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6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44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Principal Position(a)</w:t>
            </w:r>
          </w:p>
        </w:tc>
        <w:tc>
          <w:tcPr>
            <w:tcW w:w="80" w:type="dxa"/>
            <w:vAlign w:val="bottom"/>
          </w:tcPr>
          <w:p>
            <w:pPr>
              <w:spacing w:after="0"/>
              <w:rPr>
                <w:sz w:val="12"/>
                <w:szCs w:val="12"/>
                <w:color w:val="auto"/>
              </w:rPr>
            </w:pPr>
          </w:p>
        </w:tc>
        <w:tc>
          <w:tcPr>
            <w:tcW w:w="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80" w:type="dxa"/>
            <w:vAlign w:val="bottom"/>
          </w:tcPr>
          <w:p>
            <w:pPr>
              <w:spacing w:after="0"/>
              <w:rPr>
                <w:sz w:val="12"/>
                <w:szCs w:val="12"/>
                <w:color w:val="auto"/>
              </w:rPr>
            </w:pPr>
          </w:p>
        </w:tc>
        <w:tc>
          <w:tcPr>
            <w:tcW w:w="4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w:t>
            </w:r>
          </w:p>
        </w:tc>
        <w:tc>
          <w:tcPr>
            <w:tcW w:w="68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w w:val="93"/>
              </w:rPr>
              <w:t>(1)(e)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(2)(g)</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5"/>
              </w:rPr>
              <w:t>(3)(h)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(4)(i)</w:t>
            </w:r>
          </w:p>
        </w:tc>
        <w:tc>
          <w:tcPr>
            <w:tcW w:w="140" w:type="dxa"/>
            <w:vAlign w:val="bottom"/>
          </w:tcPr>
          <w:p>
            <w:pPr>
              <w:spacing w:after="0"/>
              <w:rPr>
                <w:sz w:val="12"/>
                <w:szCs w:val="12"/>
                <w:color w:val="auto"/>
              </w:rPr>
            </w:pPr>
          </w:p>
        </w:tc>
        <w:tc>
          <w:tcPr>
            <w:tcW w:w="7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(5)(j)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Matthew J. Simoncini,</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2"/>
              </w:rPr>
              <w:t>2015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2"/>
              </w:rPr>
              <w:t>1,306,125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$8,149,840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3,487,680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668,748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13,612,393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President and Chief</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2014</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2"/>
              </w:rPr>
              <w:t>1,290,000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$7,099,775</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3,150,000</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80,217</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554,451</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12,174,443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Officer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2013</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2"/>
              </w:rPr>
              <w:t>1,245,208</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$6,859,832</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2,415,000</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282,328</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10,802,368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Jeffrey H. Vanneste,</w:t>
            </w:r>
          </w:p>
        </w:tc>
        <w:tc>
          <w:tcPr>
            <w:tcW w:w="38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2"/>
              </w:rPr>
              <w:t>2015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741,750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$2,110,796</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996,480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254,392</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4,103,418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Senior Vice President and</w:t>
            </w:r>
          </w:p>
        </w:tc>
        <w:tc>
          <w:tcPr>
            <w:tcW w:w="380" w:type="dxa"/>
            <w:vAlign w:val="bottom"/>
            <w:gridSpan w:val="2"/>
          </w:tcPr>
          <w:p>
            <w:pPr>
              <w:jc w:val="center"/>
              <w:ind w:left="52"/>
              <w:spacing w:after="0" w:line="149" w:lineRule="exact"/>
              <w:rPr>
                <w:sz w:val="20"/>
                <w:szCs w:val="20"/>
                <w:color w:val="auto"/>
              </w:rPr>
            </w:pPr>
            <w:r>
              <w:rPr>
                <w:rFonts w:ascii="Times New Roman" w:cs="Times New Roman" w:eastAsia="Times New Roman" w:hAnsi="Times New Roman"/>
                <w:sz w:val="14"/>
                <w:szCs w:val="14"/>
                <w:color w:val="auto"/>
                <w:w w:val="92"/>
              </w:rPr>
              <w:t>2014</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708,268</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$1,937,944</w:t>
            </w:r>
          </w:p>
        </w:tc>
        <w:tc>
          <w:tcPr>
            <w:tcW w:w="6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952,000</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168,628</w:t>
            </w:r>
          </w:p>
        </w:tc>
        <w:tc>
          <w:tcPr>
            <w:tcW w:w="8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230,994</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3,997,834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Chief Financial Officer</w:t>
            </w:r>
          </w:p>
        </w:tc>
        <w:tc>
          <w:tcPr>
            <w:tcW w:w="38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2"/>
              </w:rPr>
              <w:t>2013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683,633</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$1,867,397</w:t>
            </w:r>
          </w:p>
        </w:tc>
        <w:tc>
          <w:tcPr>
            <w:tcW w:w="6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829,150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150,082</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3,530,262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Raymond E. Scott,</w:t>
            </w:r>
          </w:p>
        </w:tc>
        <w:tc>
          <w:tcPr>
            <w:tcW w:w="380" w:type="dxa"/>
            <w:vAlign w:val="bottom"/>
            <w:gridSpan w:val="2"/>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4"/>
                <w:szCs w:val="14"/>
                <w:color w:val="auto"/>
                <w:w w:val="92"/>
              </w:rPr>
              <w:t>2015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834,942</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$2,355,154</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1,100,889</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285,684</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4,576,669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2014</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828,223</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$2,280,005</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1,078,616</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293,910</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271,112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4,751,866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President, Seating</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2013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818,172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$2,219,401</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992,327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179,179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4,209,079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Terrence B. Larkin</w:t>
            </w:r>
          </w:p>
        </w:tc>
        <w:tc>
          <w:tcPr>
            <w:tcW w:w="38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2"/>
              </w:rPr>
              <w:t>2015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834,942</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$2,355,154</w:t>
            </w:r>
          </w:p>
        </w:tc>
        <w:tc>
          <w:tcPr>
            <w:tcW w:w="6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1,100,889</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261,183</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4,552,168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380" w:type="dxa"/>
            <w:vAlign w:val="bottom"/>
            <w:gridSpan w:val="2"/>
          </w:tcPr>
          <w:p>
            <w:pPr>
              <w:jc w:val="center"/>
              <w:ind w:left="52"/>
              <w:spacing w:after="0" w:line="149" w:lineRule="exact"/>
              <w:rPr>
                <w:sz w:val="20"/>
                <w:szCs w:val="20"/>
                <w:color w:val="auto"/>
              </w:rPr>
            </w:pPr>
            <w:r>
              <w:rPr>
                <w:rFonts w:ascii="Times New Roman" w:cs="Times New Roman" w:eastAsia="Times New Roman" w:hAnsi="Times New Roman"/>
                <w:sz w:val="14"/>
                <w:szCs w:val="14"/>
                <w:color w:val="auto"/>
                <w:w w:val="92"/>
              </w:rPr>
              <w:t>2014</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828,223</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$2,280,005</w:t>
            </w:r>
          </w:p>
        </w:tc>
        <w:tc>
          <w:tcPr>
            <w:tcW w:w="6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1,078,616</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248,673</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4,435,517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Business Development,</w:t>
            </w:r>
          </w:p>
        </w:tc>
        <w:tc>
          <w:tcPr>
            <w:tcW w:w="380" w:type="dxa"/>
            <w:vAlign w:val="bottom"/>
            <w:gridSpan w:val="2"/>
          </w:tcPr>
          <w:p>
            <w:pPr>
              <w:jc w:val="center"/>
              <w:ind w:left="52"/>
              <w:spacing w:after="0" w:line="149" w:lineRule="exact"/>
              <w:rPr>
                <w:sz w:val="20"/>
                <w:szCs w:val="20"/>
                <w:color w:val="auto"/>
              </w:rPr>
            </w:pPr>
            <w:r>
              <w:rPr>
                <w:rFonts w:ascii="Times New Roman" w:cs="Times New Roman" w:eastAsia="Times New Roman" w:hAnsi="Times New Roman"/>
                <w:sz w:val="14"/>
                <w:szCs w:val="14"/>
                <w:color w:val="auto"/>
                <w:w w:val="92"/>
              </w:rPr>
              <w:t>2013</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818,172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$2,219,401</w:t>
            </w:r>
          </w:p>
        </w:tc>
        <w:tc>
          <w:tcPr>
            <w:tcW w:w="6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992,327</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161,497</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4,191,397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General Counsel and Corporate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Secretary</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Frank C. Orsini,</w:t>
            </w:r>
          </w:p>
        </w:tc>
        <w:tc>
          <w:tcPr>
            <w:tcW w:w="380" w:type="dxa"/>
            <w:vAlign w:val="bottom"/>
            <w:gridSpan w:val="2"/>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4"/>
                <w:szCs w:val="14"/>
                <w:color w:val="auto"/>
                <w:w w:val="92"/>
              </w:rPr>
              <w:t>2015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708,156</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$1,929,740</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948,040</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216,600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3,802,536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80" w:type="dxa"/>
            <w:vAlign w:val="bottom"/>
            <w:gridSpan w:val="2"/>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Senior Vice President, and</w:t>
            </w:r>
          </w:p>
        </w:tc>
        <w:tc>
          <w:tcPr>
            <w:tcW w:w="380" w:type="dxa"/>
            <w:vAlign w:val="bottom"/>
            <w:gridSpan w:val="2"/>
            <w:shd w:val="clear" w:color="auto" w:fill="CCEEFF"/>
          </w:tcPr>
          <w:p>
            <w:pPr>
              <w:jc w:val="center"/>
              <w:ind w:left="52"/>
              <w:spacing w:after="0" w:line="136" w:lineRule="exact"/>
              <w:rPr>
                <w:sz w:val="20"/>
                <w:szCs w:val="20"/>
                <w:color w:val="auto"/>
              </w:rPr>
            </w:pPr>
            <w:r>
              <w:rPr>
                <w:rFonts w:ascii="Times New Roman" w:cs="Times New Roman" w:eastAsia="Times New Roman" w:hAnsi="Times New Roman"/>
                <w:sz w:val="14"/>
                <w:szCs w:val="14"/>
                <w:color w:val="auto"/>
                <w:w w:val="92"/>
              </w:rPr>
              <w:t>2014</w:t>
            </w:r>
          </w:p>
        </w:tc>
        <w:tc>
          <w:tcPr>
            <w:tcW w:w="2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683,073</w:t>
            </w:r>
          </w:p>
        </w:tc>
        <w:tc>
          <w:tcPr>
            <w:tcW w:w="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$1,807,292</w:t>
            </w: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910,000</w:t>
            </w:r>
          </w:p>
        </w:tc>
        <w:tc>
          <w:tcPr>
            <w:tcW w:w="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4"/>
                <w:szCs w:val="14"/>
                <w:color w:val="auto"/>
              </w:rPr>
              <w:t>111,859</w:t>
            </w:r>
          </w:p>
        </w:tc>
        <w:tc>
          <w:tcPr>
            <w:tcW w:w="180" w:type="dxa"/>
            <w:vAlign w:val="bottom"/>
            <w:gridSpan w:val="2"/>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160,844</w:t>
            </w:r>
          </w:p>
        </w:tc>
        <w:tc>
          <w:tcPr>
            <w:tcW w:w="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3,673,068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President, Electrical</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56"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each officer reflect the aggregate grant date fair value of Career Share RSUs, RSUs and Performance Shares under the LTSIP granted in the year determined in accordance with ASC 718, which grant date fair values are shown by award type below. There can be no assurance that these values will ever be realized. See Note 10, “Stock-Based Compensation,” to the consolidated financial statements included in our 2015 Annual Report on Form 10-K for the assumptions made in determining these values. The maximum potential value of the 2015 Performance Share awards as of the grant date is also shown below, based on the grant date value of our common stock.</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RSU Career</w:t>
            </w:r>
          </w:p>
        </w:tc>
        <w:tc>
          <w:tcPr>
            <w:tcW w:w="8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5"/>
              </w:rPr>
              <w:t>2015-2017</w:t>
            </w:r>
          </w:p>
        </w:tc>
        <w:tc>
          <w:tcPr>
            <w:tcW w:w="1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Total Grant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20" w:type="dxa"/>
            <w:vAlign w:val="bottom"/>
            <w:vMerge w:val="restart"/>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 Grant</w:t>
            </w:r>
          </w:p>
        </w:tc>
        <w:tc>
          <w:tcPr>
            <w:tcW w:w="9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RSU Grant</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Grant</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320" w:type="dxa"/>
            <w:vAlign w:val="bottom"/>
            <w:vMerge w:val="continue"/>
          </w:tcPr>
          <w:p>
            <w:pPr>
              <w:spacing w:after="0"/>
              <w:rPr>
                <w:sz w:val="14"/>
                <w:szCs w:val="14"/>
                <w:color w:val="auto"/>
              </w:rPr>
            </w:pPr>
          </w:p>
        </w:tc>
        <w:tc>
          <w:tcPr>
            <w:tcW w:w="90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Date Value</w:t>
            </w:r>
          </w:p>
        </w:tc>
        <w:tc>
          <w:tcPr>
            <w:tcW w:w="980" w:type="dxa"/>
            <w:vAlign w:val="bottom"/>
            <w:gridSpan w:val="3"/>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Date Value</w:t>
            </w:r>
          </w:p>
        </w:tc>
        <w:tc>
          <w:tcPr>
            <w:tcW w:w="9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3"/>
              </w:rPr>
              <w:t>Date Value</w:t>
            </w:r>
          </w:p>
        </w:tc>
        <w:tc>
          <w:tcPr>
            <w:tcW w:w="88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Matthew J. Simoncini</w:t>
            </w: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$ 649,917</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1,874,981</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3"/>
              </w:rPr>
              <w:t>$5,624,942</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$8,149,840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11,249,885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$ 274,975</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458,955</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$1,376,866</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$2,110,796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$ 274,975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520,045</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$1,560,134</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$2,355,154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$ 274,975</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520,045</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$1,560,134</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$2,355,154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$ 174,882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438,690</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$1,316,168</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$1,929,740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column (g) for 2015 represent the amounts earned under the AIP.</w:t>
      </w:r>
    </w:p>
    <w:p>
      <w:pPr>
        <w:spacing w:after="0" w:line="90" w:lineRule="exact"/>
        <w:rPr>
          <w:rFonts w:ascii="Times New Roman" w:cs="Times New Roman" w:eastAsia="Times New Roman" w:hAnsi="Times New Roman"/>
          <w:sz w:val="18"/>
          <w:szCs w:val="18"/>
          <w:color w:val="auto"/>
        </w:rPr>
      </w:pPr>
    </w:p>
    <w:p>
      <w:pPr>
        <w:ind w:left="460" w:right="280" w:hanging="452"/>
        <w:spacing w:after="0" w:line="262"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change in actuarial present value of the Named Executive Officer’s accumulated benefit under all defined benefit and actuarial pension plans (including supplemental plans), all of which have been frozen since December 31, 2006. For 2015, there was an actuarial decrease in the present value of the benefits under these plans for Mr. Simoncini in the amount of $(1,984); for Mr. Vanneste in the amount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80"/>
        <w:spacing w:after="0" w:line="275" w:lineRule="auto"/>
        <w:rPr>
          <w:sz w:val="20"/>
          <w:szCs w:val="20"/>
          <w:color w:val="auto"/>
        </w:rPr>
      </w:pPr>
      <w:r>
        <w:rPr>
          <w:rFonts w:ascii="Times New Roman" w:cs="Times New Roman" w:eastAsia="Times New Roman" w:hAnsi="Times New Roman"/>
          <w:sz w:val="18"/>
          <w:szCs w:val="18"/>
          <w:color w:val="auto"/>
        </w:rPr>
        <w:t>of $(1,009); for Mr. Scott in the amount of $(6,017); and for Mr. Orsini in the amount of $(14,432). Because these amounts are negative, they are not reported in this column or in column (j).</w:t>
      </w:r>
    </w:p>
    <w:p>
      <w:pPr>
        <w:spacing w:after="0" w:line="39"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column (i) includes for each Named Executive Officer:</w:t>
      </w:r>
    </w:p>
    <w:p>
      <w:pPr>
        <w:spacing w:after="0" w:line="90" w:lineRule="exact"/>
        <w:rPr>
          <w:rFonts w:ascii="Times New Roman" w:cs="Times New Roman" w:eastAsia="Times New Roman" w:hAnsi="Times New Roman"/>
          <w:sz w:val="18"/>
          <w:szCs w:val="18"/>
          <w:color w:val="auto"/>
        </w:rPr>
      </w:pPr>
    </w:p>
    <w:p>
      <w:pPr>
        <w:ind w:left="660" w:right="140" w:hanging="206"/>
        <w:spacing w:after="0" w:line="26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Pension Savings</w:t>
            </w:r>
          </w:p>
        </w:tc>
        <w:tc>
          <w:tcPr>
            <w:tcW w:w="140" w:type="dxa"/>
            <w:vAlign w:val="bottom"/>
          </w:tcPr>
          <w:p>
            <w:pPr>
              <w:spacing w:after="0"/>
              <w:rPr>
                <w:sz w:val="13"/>
                <w:szCs w:val="13"/>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Salaried Retirement</w:t>
            </w:r>
          </w:p>
        </w:tc>
        <w:tc>
          <w:tcPr>
            <w:tcW w:w="10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Retirement Savings</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Retirement Savings</w:t>
            </w:r>
          </w:p>
        </w:tc>
        <w:tc>
          <w:tcPr>
            <w:tcW w:w="0" w:type="dxa"/>
            <w:vAlign w:val="bottom"/>
          </w:tcPr>
          <w:p>
            <w:pPr>
              <w:spacing w:after="0"/>
              <w:rPr>
                <w:sz w:val="1"/>
                <w:szCs w:val="1"/>
                <w:color w:val="auto"/>
              </w:rPr>
            </w:pPr>
          </w:p>
        </w:tc>
      </w:tr>
      <w:tr>
        <w:trPr>
          <w:trHeight w:val="149"/>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Qualified</w:t>
            </w:r>
          </w:p>
        </w:tc>
        <w:tc>
          <w:tcPr>
            <w:tcW w:w="14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Restoration Program</w:t>
            </w: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 Qualified</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 Nonqualified</w:t>
            </w:r>
          </w:p>
        </w:tc>
        <w:tc>
          <w:tcPr>
            <w:tcW w:w="0" w:type="dxa"/>
            <w:vAlign w:val="bottom"/>
          </w:tcPr>
          <w:p>
            <w:pPr>
              <w:spacing w:after="0"/>
              <w:rPr>
                <w:sz w:val="1"/>
                <w:szCs w:val="1"/>
                <w:color w:val="auto"/>
              </w:rPr>
            </w:pPr>
          </w:p>
        </w:tc>
      </w:tr>
      <w:tr>
        <w:trPr>
          <w:trHeight w:val="152"/>
        </w:trPr>
        <w:tc>
          <w:tcPr>
            <w:tcW w:w="314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4"/>
              </w:rPr>
              <w:t>Contribution</w:t>
            </w:r>
          </w:p>
        </w:tc>
        <w:tc>
          <w:tcPr>
            <w:tcW w:w="1720" w:type="dxa"/>
            <w:vAlign w:val="bottom"/>
            <w:gridSpan w:val="3"/>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Nonqualified Contribution</w:t>
            </w:r>
          </w:p>
        </w:tc>
        <w:tc>
          <w:tcPr>
            <w:tcW w:w="152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Matching Contribution</w:t>
            </w:r>
          </w:p>
        </w:tc>
        <w:tc>
          <w:tcPr>
            <w:tcW w:w="14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Matching Contribution</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Matthew J. Simoncini</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23,678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440,068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189,203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168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23,678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150,019</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168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168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20,295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148,370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168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660" w:right="420" w:hanging="206"/>
        <w:spacing w:after="0" w:line="275"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imputed income with respect to life insurance coverage in the following amounts: Mr. Simoncini, $3,612; Mr. Vanneste, $3,612; Mr. Scott, $1,932; Mr. Larkin, $5,544; and Mr. Orsini, $840.</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premiums paid by the Company, including $864 in premiums for each of Messrs. Simoncini, Vanneste, Scott, Larkin and Orsini.</w:t>
      </w:r>
    </w:p>
    <w:p>
      <w:pPr>
        <w:spacing w:after="0" w:line="90"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Named Executive Officer, the percentage of total compensation in 2015 disclosed in column (j) that was attributable to base salary was as follows: Mr. Simoncini, 9.6%; Mr. Vanneste, 18.1%; Mr. Scott, 18.2%; Mr. Larkin, 18.3%; and Mr. Orsini, 18.6%. For each Named Executive Officer, the percentage of total compensation in 2015 disclosed in column (j) that was attributable to the annual incentive award was as follows: Mr. Simoncini, 25.6%; Mr. Vanneste, 24.3%; Mr. Scott, 24.1%; Mr. Larkin, 24.2%; and Mr. Orsini, 24.9%.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92"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Named Executive Officers. Each employment agreement specifies the annual base salary for the executive, which may be increased at the discretion of the Compensation Committee. In addition, the employment agreements specify that the executives are eligible for an annual incentive compensation bonus and participation in the Company’s long-term incentive plan. Under the terms of the employment agreements, each Named Executive Officer is also eligible to participate in the welfare, retirement and other benefit plans, practices, policies and programs, as may be in effect from time to time, for senior executives of the Company generally. Under the employment agreements, if the Company reduces an executive’s base salary, adversely changes the manner of computing an executive’s incentive compensation opportunity, defers payment of his compensation, or eliminates or substantially modifies his benefits, the executive would have a basis to invoke his rights under the agreement for termination for good reason. For a description of the severance provisions of the employment agreements, see “— Potential Payments upon Termination or Change in Control.”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 Corporation Salaried Retirement Program</w:t>
      </w:r>
    </w:p>
    <w:p>
      <w:pPr>
        <w:spacing w:after="0" w:line="92" w:lineRule="exact"/>
        <w:rPr>
          <w:sz w:val="20"/>
          <w:szCs w:val="20"/>
          <w:color w:val="auto"/>
        </w:rPr>
      </w:pPr>
    </w:p>
    <w:p>
      <w:pPr>
        <w:jc w:val="both"/>
        <w:ind w:firstLine="456"/>
        <w:spacing w:after="0" w:line="301" w:lineRule="auto"/>
        <w:rPr>
          <w:sz w:val="20"/>
          <w:szCs w:val="20"/>
          <w:color w:val="auto"/>
        </w:rPr>
      </w:pPr>
      <w:r>
        <w:rPr>
          <w:rFonts w:ascii="Times New Roman" w:cs="Times New Roman" w:eastAsia="Times New Roman" w:hAnsi="Times New Roman"/>
          <w:sz w:val="16"/>
          <w:szCs w:val="16"/>
          <w:color w:val="auto"/>
        </w:rPr>
        <w:t>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who have completed one month of service. Under the Retirement Savings Plan, each eligible employee may elect to contribute, on a pre-tax basis, a portion of his eligible compensation in each year. The Company provides a matching contribution of 100% of an employee’s contribution up to the first 3% of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Company matching contributions generally become vested under the Retirement Savings Plan at a rate of 20% for each full year of service.</w:t>
      </w:r>
    </w:p>
    <w:p>
      <w:pPr>
        <w:spacing w:after="0" w:line="10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All Pension Savings Plan contributions are generally determined as of the last day of each month, provided, generally, that the employee is actively employed on such date, and are allocated monthly. Contributions generally become vested under the Pension Savings Plan at a rate of 20% for each full year of service.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20"/>
          </w:cols>
          <w:pgMar w:left="24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2015 GRANTS OF PLAN-BASED AWARDS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discloses the grants of plan-based awards to our Named Executive Officers in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2"/>
              </w:rPr>
              <w:t>Grant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Estimated Possible Payouts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7"/>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Non-Equity Incentive Plan</w:t>
            </w:r>
          </w:p>
        </w:tc>
        <w:tc>
          <w:tcPr>
            <w:tcW w:w="2220" w:type="dxa"/>
            <w:vAlign w:val="bottom"/>
            <w:gridSpan w:val="5"/>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Awards(1)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Equity Incentive Plan Awards</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center"/>
              <w:ind w:right="140"/>
              <w:spacing w:after="0" w:line="118" w:lineRule="exact"/>
              <w:rPr>
                <w:sz w:val="20"/>
                <w:szCs w:val="20"/>
                <w:color w:val="auto"/>
              </w:rPr>
            </w:pPr>
            <w:r>
              <w:rPr>
                <w:rFonts w:ascii="Times New Roman" w:cs="Times New Roman" w:eastAsia="Times New Roman" w:hAnsi="Times New Roman"/>
                <w:sz w:val="12"/>
                <w:szCs w:val="12"/>
                <w:b w:val="1"/>
                <w:bCs w:val="1"/>
                <w:color w:val="auto"/>
              </w:rPr>
              <w:t>and</w:t>
            </w:r>
          </w:p>
        </w:tc>
        <w:tc>
          <w:tcPr>
            <w:tcW w:w="0" w:type="dxa"/>
            <w:vAlign w:val="bottom"/>
          </w:tcPr>
          <w:p>
            <w:pPr>
              <w:spacing w:after="0"/>
              <w:rPr>
                <w:sz w:val="1"/>
                <w:szCs w:val="1"/>
                <w:color w:val="auto"/>
              </w:rPr>
            </w:pPr>
          </w:p>
        </w:tc>
      </w:tr>
      <w:tr>
        <w:trPr>
          <w:trHeight w:val="71"/>
        </w:trPr>
        <w:tc>
          <w:tcPr>
            <w:tcW w:w="5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38"/>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74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Threshold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8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or Units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0" w:type="dxa"/>
            <w:vAlign w:val="bottom"/>
          </w:tcPr>
          <w:p>
            <w:pPr>
              <w:spacing w:after="0"/>
              <w:rPr>
                <w:sz w:val="1"/>
                <w:szCs w:val="1"/>
                <w:color w:val="auto"/>
              </w:rPr>
            </w:pPr>
          </w:p>
        </w:tc>
      </w:tr>
      <w:tr>
        <w:trPr>
          <w:trHeight w:val="18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Name(a)</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Date (b)</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6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(h)(#)</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(2)(l)</w:t>
            </w:r>
          </w:p>
        </w:tc>
        <w:tc>
          <w:tcPr>
            <w:tcW w:w="0" w:type="dxa"/>
            <w:vAlign w:val="bottom"/>
          </w:tcPr>
          <w:p>
            <w:pPr>
              <w:spacing w:after="0"/>
              <w:rPr>
                <w:sz w:val="1"/>
                <w:szCs w:val="1"/>
                <w:color w:val="auto"/>
              </w:rPr>
            </w:pPr>
          </w:p>
        </w:tc>
      </w:tr>
      <w:tr>
        <w:trPr>
          <w:trHeight w:val="136"/>
        </w:trPr>
        <w:tc>
          <w:tcPr>
            <w:tcW w:w="212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Matthew J. Simoncini</w:t>
            </w:r>
          </w:p>
        </w:tc>
        <w:tc>
          <w:tcPr>
            <w:tcW w:w="100" w:type="dxa"/>
            <w:vAlign w:val="bottom"/>
            <w:tcBorders>
              <w:top w:val="single" w:sz="8" w:color="CCEEFF"/>
            </w:tcBorders>
            <w:shd w:val="clear" w:color="auto" w:fill="CCEEFF"/>
          </w:tcPr>
          <w:p>
            <w:pPr>
              <w:spacing w:after="0"/>
              <w:rPr>
                <w:sz w:val="11"/>
                <w:szCs w:val="11"/>
                <w:color w:val="auto"/>
              </w:rPr>
            </w:pPr>
          </w:p>
        </w:tc>
        <w:tc>
          <w:tcPr>
            <w:tcW w:w="21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Annual Incentive Award</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92"/>
              </w:rPr>
              <w:t>1,008,000</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92"/>
              </w:rPr>
              <w:t>2,016,000</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$4,032,000</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Performance Share Award(3)</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28,728</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57,456</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114,912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5,624,942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1,874,981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 Award (Career Shares)(5)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11/18/2015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5,240</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649,917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Jeffrey H. Vanneste</w:t>
            </w:r>
          </w:p>
        </w:tc>
        <w:tc>
          <w:tcPr>
            <w:tcW w:w="100" w:type="dxa"/>
            <w:vAlign w:val="bottom"/>
          </w:tcPr>
          <w:p>
            <w:pPr>
              <w:spacing w:after="0"/>
              <w:rPr>
                <w:sz w:val="11"/>
                <w:szCs w:val="11"/>
                <w:color w:val="auto"/>
              </w:rPr>
            </w:pPr>
          </w:p>
        </w:tc>
        <w:tc>
          <w:tcPr>
            <w:tcW w:w="21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Annual Incentive Award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288,000</w:t>
            </w: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576,000</w:t>
            </w:r>
          </w:p>
        </w:tc>
        <w:tc>
          <w:tcPr>
            <w:tcW w:w="780" w:type="dxa"/>
            <w:vAlign w:val="bottom"/>
            <w:gridSpan w:val="2"/>
          </w:tcPr>
          <w:p>
            <w:pPr>
              <w:jc w:val="center"/>
              <w:ind w:left="92"/>
              <w:spacing w:after="0" w:line="136" w:lineRule="exact"/>
              <w:rPr>
                <w:sz w:val="20"/>
                <w:szCs w:val="20"/>
                <w:color w:val="auto"/>
              </w:rPr>
            </w:pPr>
            <w:r>
              <w:rPr>
                <w:rFonts w:ascii="Times New Roman" w:cs="Times New Roman" w:eastAsia="Times New Roman" w:hAnsi="Times New Roman"/>
                <w:sz w:val="14"/>
                <w:szCs w:val="14"/>
                <w:color w:val="auto"/>
                <w:w w:val="98"/>
              </w:rPr>
              <w:t>$1,152,000</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Performance Share Award(3)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7,032</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14,064</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28,129</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1,376,866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4,688</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458,955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RSU Award (Career Shares)(5)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11/18/2015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Raymond E. Scott</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Annual Incentive Award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318,176</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636,352</w:t>
            </w:r>
          </w:p>
        </w:tc>
        <w:tc>
          <w:tcPr>
            <w:tcW w:w="780" w:type="dxa"/>
            <w:vAlign w:val="bottom"/>
            <w:gridSpan w:val="2"/>
            <w:shd w:val="clear" w:color="auto" w:fill="CCEEFF"/>
          </w:tcPr>
          <w:p>
            <w:pPr>
              <w:jc w:val="center"/>
              <w:ind w:left="92"/>
              <w:spacing w:after="0" w:line="149" w:lineRule="exact"/>
              <w:rPr>
                <w:sz w:val="20"/>
                <w:szCs w:val="20"/>
                <w:color w:val="auto"/>
              </w:rPr>
            </w:pPr>
            <w:r>
              <w:rPr>
                <w:rFonts w:ascii="Times New Roman" w:cs="Times New Roman" w:eastAsia="Times New Roman" w:hAnsi="Times New Roman"/>
                <w:sz w:val="14"/>
                <w:szCs w:val="14"/>
                <w:color w:val="auto"/>
                <w:w w:val="98"/>
              </w:rPr>
              <w:t>$1,272,704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Performance Share Award(3)</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7,968</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15,936</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31,872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1,560,134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 Award (Career Shares)(5)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11/18/2015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Terrence B. Larkin</w:t>
            </w:r>
          </w:p>
        </w:tc>
        <w:tc>
          <w:tcPr>
            <w:tcW w:w="100" w:type="dxa"/>
            <w:vAlign w:val="bottom"/>
          </w:tcPr>
          <w:p>
            <w:pPr>
              <w:spacing w:after="0"/>
              <w:rPr>
                <w:sz w:val="11"/>
                <w:szCs w:val="11"/>
                <w:color w:val="auto"/>
              </w:rPr>
            </w:pPr>
          </w:p>
        </w:tc>
        <w:tc>
          <w:tcPr>
            <w:tcW w:w="21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Annual Incentive Award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318,176</w:t>
            </w: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636,352</w:t>
            </w:r>
          </w:p>
        </w:tc>
        <w:tc>
          <w:tcPr>
            <w:tcW w:w="780" w:type="dxa"/>
            <w:vAlign w:val="bottom"/>
            <w:gridSpan w:val="2"/>
          </w:tcPr>
          <w:p>
            <w:pPr>
              <w:jc w:val="center"/>
              <w:ind w:left="92"/>
              <w:spacing w:after="0" w:line="136" w:lineRule="exact"/>
              <w:rPr>
                <w:sz w:val="20"/>
                <w:szCs w:val="20"/>
                <w:color w:val="auto"/>
              </w:rPr>
            </w:pPr>
            <w:r>
              <w:rPr>
                <w:rFonts w:ascii="Times New Roman" w:cs="Times New Roman" w:eastAsia="Times New Roman" w:hAnsi="Times New Roman"/>
                <w:sz w:val="14"/>
                <w:szCs w:val="14"/>
                <w:color w:val="auto"/>
                <w:w w:val="98"/>
              </w:rPr>
              <w:t>$1,272,704</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Performance Share Award(3)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7,968</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15,936</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31,872</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1,560,134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5,312</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RSU Award (Career Shares)(5)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11/18/2015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Frank C. Orsini</w:t>
            </w: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Annual Incentive Award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274,000</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548,000</w:t>
            </w:r>
          </w:p>
        </w:tc>
        <w:tc>
          <w:tcPr>
            <w:tcW w:w="780" w:type="dxa"/>
            <w:vAlign w:val="bottom"/>
            <w:gridSpan w:val="2"/>
            <w:shd w:val="clear" w:color="auto" w:fill="CCEEFF"/>
          </w:tcPr>
          <w:p>
            <w:pPr>
              <w:jc w:val="center"/>
              <w:ind w:left="92"/>
              <w:spacing w:after="0" w:line="149" w:lineRule="exact"/>
              <w:rPr>
                <w:sz w:val="20"/>
                <w:szCs w:val="20"/>
                <w:color w:val="auto"/>
              </w:rPr>
            </w:pPr>
            <w:r>
              <w:rPr>
                <w:rFonts w:ascii="Times New Roman" w:cs="Times New Roman" w:eastAsia="Times New Roman" w:hAnsi="Times New Roman"/>
                <w:sz w:val="14"/>
                <w:szCs w:val="14"/>
                <w:color w:val="auto"/>
                <w:w w:val="98"/>
              </w:rPr>
              <w:t>$1,096,000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Performance Share Award(3)</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6,721</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13,444</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26,889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1,316,168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4,481</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 Award (Career Shares)(5)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11/18/2015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1,410</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8"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Annual Incentive Award, the threshold, target and maximum amounts represent 50%, 100% and 200%, respectively, of the total bonus opportunity for each Named Executive Officer. If actual performance falls between threshold and maximum, the award would be calculated using linear interpolation. For the Annual Incentive Award, the target bonus opportunity for the Named Executive Officers was also based on a percentage of base salary, which is 160% for Mr. Simoncini and 80% for Messrs. Vanneste, Scott, Larkin and Orsini.</w:t>
      </w:r>
    </w:p>
    <w:p>
      <w:pPr>
        <w:spacing w:after="0" w:line="55" w:lineRule="exact"/>
        <w:rPr>
          <w:rFonts w:ascii="Times New Roman" w:cs="Times New Roman" w:eastAsia="Times New Roman" w:hAnsi="Times New Roman"/>
          <w:sz w:val="18"/>
          <w:szCs w:val="18"/>
          <w:color w:val="auto"/>
        </w:rPr>
      </w:pPr>
    </w:p>
    <w:p>
      <w:pPr>
        <w:ind w:left="460" w:right="80" w:hanging="452"/>
        <w:spacing w:after="0" w:line="27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“Stock-Based Compensation,” to the Company’s consolidated financial statements included in our 2015 Annual Report on Form 10-K for the assumptions made in determining values.</w:t>
      </w:r>
    </w:p>
    <w:p>
      <w:pPr>
        <w:spacing w:after="0" w:line="38"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each Performance Share award is contingent on the Company attaining certain levels of Adjusted ROIC and Cumulative Pre-Tax Income performance in the 2015-2017 performance period. Two-thirds of each Performance Share award can be earned based on Adjusted ROIC performance and one-third can be earned based on Cumulative Pre-Tax Income performance. If threshold, target or maximum performance goals are attained in the performance period, 50%, 100% or 200% of the target amount, respectively, may be earned. If actual performance falls between threshold and maximum, the award would be calculated using linear interpolation.</w:t>
      </w:r>
    </w:p>
    <w:p>
      <w:pPr>
        <w:spacing w:after="0" w:line="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and are paid in shares of Lear common stock on the third anniversary of the grant date.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 Career Shares” below for an explanation regarding the vesting and distribution of the Career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summary description of the Company’s AIP is set forth above under the heading “Compensation Discussion and Analysis — Elements of Compensation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Annual Incentives.”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Shares</w:t>
      </w:r>
    </w:p>
    <w:p>
      <w:pPr>
        <w:spacing w:after="0" w:line="92" w:lineRule="exact"/>
        <w:rPr>
          <w:sz w:val="20"/>
          <w:szCs w:val="20"/>
          <w:color w:val="auto"/>
        </w:rPr>
      </w:pPr>
    </w:p>
    <w:p>
      <w:pPr>
        <w:ind w:right="180" w:firstLine="456"/>
        <w:spacing w:after="0" w:line="293" w:lineRule="auto"/>
        <w:rPr>
          <w:sz w:val="20"/>
          <w:szCs w:val="20"/>
          <w:color w:val="auto"/>
        </w:rPr>
      </w:pPr>
      <w:r>
        <w:rPr>
          <w:rFonts w:ascii="Times New Roman" w:cs="Times New Roman" w:eastAsia="Times New Roman" w:hAnsi="Times New Roman"/>
          <w:sz w:val="16"/>
          <w:szCs w:val="16"/>
          <w:color w:val="auto"/>
        </w:rPr>
        <w:t>The Performance Share awards were granted pursuant to the LTSIP. Payment of each Performance Share award is contingent on the Company attaining certain levels of Adjusted ROIC and Cumulative Pre-Tax Income in the 2015-2017 performance period. Two-thirds of each Performance Share award can be earned based on Adjusted ROIC performance and one-third can be earned based on Cumulative Pre-Tax Income performance. If threshold, target or maximum performance goals are attained in a performance period, 50%, 100% or 200% of the target amount, respectively, may be earned. If actual performance falls between threshold and maximum, the award would be calculated using linear interpolation. For a description of the effect of a termination of employment or a change in control on the vesting of Performance Shares, please see “Executive Compensation — Potential Payments Upon Termination or Change in Control.”</w:t>
      </w:r>
    </w:p>
    <w:p>
      <w:pPr>
        <w:spacing w:after="0" w:line="111"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RSU awards were granted pursuant to the LTSIP. A summary description of the LTSIP is set forth above under the heading “Compensation Discussion and Analysis — Elements of Compensation — Long-Term Incentives.”</w:t>
      </w:r>
    </w:p>
    <w:p>
      <w:pPr>
        <w:spacing w:after="0" w:line="120"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Provided that the Company achieves positive adjusted net income in the fiscal year in which the award is granted, the RSUs vest and settle in shares of common stock on the third anniversary of the grant date during the executive’s continuing employment. Positive adjusted net income is the Company’s net income excluding the impact of restructuring and other special items provided in the LTSIP. For a description of the effect of a termination of employment or a change in control on the vesting of RSUs, please see “Executive Compensation — Potential Payments Upon Termination or Change in Control.”</w:t>
      </w:r>
    </w:p>
    <w:p>
      <w:pPr>
        <w:spacing w:after="0" w:line="103"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Shares</w:t>
      </w:r>
    </w:p>
    <w:p>
      <w:pPr>
        <w:spacing w:after="0" w:line="9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As shown in the table above, the Company granted “Career Shares” pursuant to the LTSIP to certain executives in 2015, including each of the Named Executive Officers.</w:t>
      </w:r>
    </w:p>
    <w:p>
      <w:pPr>
        <w:spacing w:after="0" w:line="12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general, the underlying shares of common stock for the vested Career Share RSUs are not distributed until the later of (i) age 62 or (ii) the vesting date. If the executive terminates due to a Career Share “qualifying retirement”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voluntary termination at or after age 62 or the date that the executive attains a combined number of age and years of service of 65, with a minimum age of 55 and minimum service of five years), the underlying shares of common stock for the vested RSUs are not distributed until the earlier of (i) age 62 (or such later vesting date) or (ii) three years after the executive’s qualifying retirement. If the executive has attained a combined number of age and years of service of at least 65, with a minimum age of 55 and minimum service of five years, or the executive is terminated without “cause” or resigns for “good reason,” in each case after the first anniversary of the grant date, the underlying shares of common stock for the vested RSUs are not distributed until the earlier of (i) age 62 (or such later vesting date) or (ii) three years after the executive’s termination of employment.</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455" w:right="2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2015 OUTSTANDING EQUITY AWARDS AT FISCAL YEAR-END</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outstanding equity awards as of December 31, 2015, for each Named Executive Officer.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7"/>
              <w:spacing w:after="0" w:line="12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Units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8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Market Value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Units of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Shares or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Rights that</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Other Rights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 Stock</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have Not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that have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Name(a)</w:t>
            </w:r>
          </w:p>
        </w:tc>
        <w:tc>
          <w:tcPr>
            <w:tcW w:w="6780" w:type="dxa"/>
            <w:vAlign w:val="bottom"/>
            <w:vMerge w:val="restart"/>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6780" w:type="dxa"/>
            <w:vAlign w:val="bottom"/>
            <w:vMerge w:val="continue"/>
          </w:tcPr>
          <w:p>
            <w:pPr>
              <w:spacing w:after="0"/>
              <w:rPr>
                <w:sz w:val="14"/>
                <w:szCs w:val="14"/>
                <w:color w:val="auto"/>
              </w:rPr>
            </w:pPr>
          </w:p>
        </w:tc>
        <w:tc>
          <w:tcPr>
            <w:tcW w:w="92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(1)(g)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Vested(2)(h)</w:t>
            </w: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(3)(i)</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2"/>
              </w:rPr>
              <w:t>(3)(j)</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Matthew J. Simoncini</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89,686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11,178,460</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249,202</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30,974,303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25,493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3,176,181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3,634,606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29,164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3,634,606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2,705,271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60" w:hanging="452"/>
        <w:spacing w:after="0" w:line="275"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figures in column (g) represent the following RSU awards granted under the LTSIP (the Career Shares are subject to later payment as discussed above):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Number of 2013</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Number of 2014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Number of 2015</w:t>
            </w: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2013 RSUs</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2014 RSUs</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2015 RSUs</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Career Shares</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Career Shares</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Career Shares</w:t>
            </w: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7,</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6,</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2,</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13,</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19,</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18,</w:t>
            </w:r>
          </w:p>
        </w:tc>
      </w:tr>
      <w:tr>
        <w:trPr>
          <w:trHeight w:val="165"/>
        </w:trPr>
        <w:tc>
          <w:tcPr>
            <w:tcW w:w="56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2,271</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5,312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2,523</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5,312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2,523</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4,481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1,514</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460" w:right="60" w:hanging="452"/>
        <w:spacing w:after="0" w:line="26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values in column (h) equal the total number of RSUs held by each Named Executive Officer multiplied by the market price of Company common stock at the close of the last trading day in 2015, which was $122.83 per share, plus the following accrued dividend equivalents and interest at the prime rate (which are paid if and when the underlying RSUs vest and are paid):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2013 Career</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2014 Career</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2015 Career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2013 RSU</w:t>
            </w: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2014 RSU</w:t>
            </w: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2015 RSU</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tcPr>
          <w:p>
            <w:pPr>
              <w:jc w:val="right"/>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49"/>
        </w:trPr>
        <w:tc>
          <w:tcPr>
            <w:tcW w:w="3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Dividend</w:t>
            </w: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Dividend</w:t>
            </w: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Dividend</w:t>
            </w: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2"/>
                <w:szCs w:val="12"/>
                <w:color w:val="auto"/>
              </w:rPr>
            </w:pPr>
          </w:p>
        </w:tc>
        <w:tc>
          <w:tcPr>
            <w:tcW w:w="62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1"/>
              </w:rPr>
              <w:t>Dividend</w:t>
            </w:r>
          </w:p>
        </w:tc>
        <w:tc>
          <w:tcPr>
            <w:tcW w:w="1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Dividend</w:t>
            </w:r>
          </w:p>
        </w:tc>
      </w:tr>
      <w:tr>
        <w:trPr>
          <w:trHeight w:val="165"/>
        </w:trPr>
        <w:tc>
          <w:tcPr>
            <w:tcW w:w="3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Equivalents</w:t>
            </w:r>
          </w:p>
        </w:tc>
        <w:tc>
          <w:tcPr>
            <w:tcW w:w="1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Equivalents</w:t>
            </w: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Equivalents</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80,952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6,448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162,329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20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21,478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4,613</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20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25,705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52,393</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20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25,705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52,393</w:t>
            </w: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20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18,901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CCEEFF"/>
          </w:tcPr>
          <w:p>
            <w:pPr>
              <w:spacing w:after="0"/>
              <w:rPr>
                <w:sz w:val="18"/>
                <w:szCs w:val="18"/>
                <w:color w:val="auto"/>
              </w:rPr>
            </w:pPr>
          </w:p>
        </w:tc>
      </w:tr>
      <w:tr>
        <w:trPr>
          <w:trHeight w:val="363"/>
        </w:trPr>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0" w:hanging="452"/>
        <w:spacing w:after="0" w:line="287" w:lineRule="auto"/>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amounts and values in columns (i) and (j) equal the total number of Performance Shares, at the maximum level, held by each Named Executive Officer multiplied by the market price of Company common stock at the close of the last trading day in 2015, which was $122.83 per share. These amounts exclude the Performance Shares for the 2013-2015 performance period that vested based on performance through December 31, 2015 and are reported in the “2015 Option Exercises and Stock Vested” table. In calculating the number of Performance Shares and their value, we are required by SEC rules to compare our performance through 2015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For example, if performance through the previous year exceeded target, even by only a modest amount, and even if it is unlikely that we will achieve the results that would dictate the payment of the maximum amount, we are required by SEC rules to report the maximum potential payouts. For the first year of the 2015-2017 performance period and through the second year of the 2014-2016 performance period, we exceeded target levels of Adjusted ROIC and Cumulative Pre-Tax Income (on a combined, pro-rated basis) and have accordingly reported the following Performance Shares at the maximum award level for each of these two performance periods. Amounts also include the following accrued dividend equivalents at the maximum level (which are not paid unless the performance goals are met with respect to the underlying Performance Shares):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Number of 2014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2015</w:t>
            </w:r>
          </w:p>
        </w:tc>
        <w:tc>
          <w:tcPr>
            <w:tcW w:w="160" w:type="dxa"/>
            <w:vAlign w:val="bottom"/>
          </w:tcPr>
          <w:p>
            <w:pPr>
              <w:spacing w:after="0"/>
              <w:rPr>
                <w:sz w:val="13"/>
                <w:szCs w:val="13"/>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2014 Performance</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2015 Performance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7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 Dividend</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 Dividend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49"/>
        </w:trPr>
        <w:tc>
          <w:tcPr>
            <w:tcW w:w="57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Equivalents</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Equivalents</w:t>
            </w:r>
          </w:p>
        </w:tc>
        <w:tc>
          <w:tcPr>
            <w:tcW w:w="1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Dividend</w:t>
            </w:r>
          </w:p>
        </w:tc>
      </w:tr>
      <w:tr>
        <w:trPr>
          <w:trHeight w:val="165"/>
        </w:trPr>
        <w:tc>
          <w:tcPr>
            <w:tcW w:w="57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(Maximum)</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(Maximum)</w:t>
            </w:r>
          </w:p>
        </w:tc>
        <w:tc>
          <w:tcPr>
            <w:tcW w:w="1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(2014-2016 Awards)</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(2015-2017 Awards)</w:t>
            </w:r>
          </w:p>
        </w:tc>
        <w:tc>
          <w:tcPr>
            <w:tcW w:w="1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Equivalents</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364,821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28,129</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93,913</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78,297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110,580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78,297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110,580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63,516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90,751</w:t>
            </w:r>
          </w:p>
        </w:tc>
        <w:tc>
          <w:tcPr>
            <w:tcW w:w="100" w:type="dxa"/>
            <w:vAlign w:val="bottom"/>
            <w:shd w:val="clear" w:color="auto" w:fill="CCEEFF"/>
          </w:tcPr>
          <w:p>
            <w:pPr>
              <w:spacing w:after="0"/>
              <w:rPr>
                <w:sz w:val="18"/>
                <w:szCs w:val="18"/>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OPTION EXERCISES AND STOCK VESTED</w:t>
      </w:r>
    </w:p>
    <w:p>
      <w:pPr>
        <w:spacing w:after="0" w:line="173" w:lineRule="exact"/>
        <w:rPr>
          <w:sz w:val="20"/>
          <w:szCs w:val="20"/>
          <w:color w:val="auto"/>
        </w:rPr>
      </w:pPr>
    </w:p>
    <w:p>
      <w:pPr>
        <w:jc w:val="both"/>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stock-based awards that vested during 2015 for our Named Executive Officers. No options are outstanding and none were exercised in 2015.</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9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560" w:type="dxa"/>
            <w:vAlign w:val="bottom"/>
            <w:gridSpan w:val="2"/>
          </w:tcPr>
          <w:p>
            <w:pPr>
              <w:jc w:val="center"/>
              <w:ind w:left="3496"/>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Acquired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Name(a)</w:t>
            </w:r>
          </w:p>
        </w:tc>
        <w:tc>
          <w:tcPr>
            <w:tcW w:w="2340" w:type="dxa"/>
            <w:vAlign w:val="bottom"/>
            <w:vMerge w:val="restart"/>
          </w:tcPr>
          <w:p>
            <w:pPr>
              <w:spacing w:after="0"/>
              <w:rPr>
                <w:sz w:val="12"/>
                <w:szCs w:val="12"/>
                <w:color w:val="auto"/>
              </w:rPr>
            </w:pPr>
          </w:p>
        </w:tc>
        <w:tc>
          <w:tcPr>
            <w:tcW w:w="3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 Vesting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Realized on</w:t>
            </w:r>
          </w:p>
        </w:tc>
        <w:tc>
          <w:tcPr>
            <w:tcW w:w="0" w:type="dxa"/>
            <w:vAlign w:val="bottom"/>
          </w:tcPr>
          <w:p>
            <w:pPr>
              <w:spacing w:after="0"/>
              <w:rPr>
                <w:sz w:val="1"/>
                <w:szCs w:val="1"/>
                <w:color w:val="auto"/>
              </w:rPr>
            </w:pPr>
          </w:p>
        </w:tc>
      </w:tr>
      <w:tr>
        <w:trPr>
          <w:trHeight w:val="172"/>
        </w:trPr>
        <w:tc>
          <w:tcPr>
            <w:tcW w:w="520" w:type="dxa"/>
            <w:vAlign w:val="bottom"/>
            <w:tcBorders>
              <w:bottom w:val="single" w:sz="8" w:color="auto"/>
            </w:tcBorders>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9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(d)(1)</w:t>
            </w:r>
          </w:p>
        </w:tc>
        <w:tc>
          <w:tcPr>
            <w:tcW w:w="1260" w:type="dxa"/>
            <w:vAlign w:val="bottom"/>
            <w:gridSpan w:val="4"/>
          </w:tcPr>
          <w:p>
            <w:pPr>
              <w:ind w:left="220"/>
              <w:spacing w:after="0" w:line="152" w:lineRule="exact"/>
              <w:rPr>
                <w:sz w:val="20"/>
                <w:szCs w:val="20"/>
                <w:color w:val="auto"/>
              </w:rPr>
            </w:pPr>
            <w:r>
              <w:rPr>
                <w:rFonts w:ascii="Times New Roman" w:cs="Times New Roman" w:eastAsia="Times New Roman" w:hAnsi="Times New Roman"/>
                <w:sz w:val="14"/>
                <w:szCs w:val="14"/>
                <w:b w:val="1"/>
                <w:bCs w:val="1"/>
                <w:color w:val="auto"/>
              </w:rPr>
              <w:t>Vesting (e)(1)(2)</w:t>
            </w: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Matthew J. Simoncini</w:t>
            </w:r>
          </w:p>
        </w:tc>
        <w:tc>
          <w:tcPr>
            <w:tcW w:w="3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207,193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21,389,097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59,506</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67,743</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67,743</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0" w:type="dxa"/>
            <w:vAlign w:val="bottom"/>
          </w:tcPr>
          <w:p>
            <w:pPr>
              <w:jc w:val="right"/>
              <w:ind w:right="1896"/>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180" w:hanging="452"/>
        <w:spacing w:after="0" w:line="262"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2012 RSU awards that vested on February 9, 2015 (and for Mr. Vanneste, a special 2012 award of 3,258 RSUs that vested on April 15, 2015), 2012 Career Shares that vested on November 14, 2015, and performance shares that vested based on performance during the three-year period ended December 31, 2015 (which were paid in 2016), in the following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2013</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Career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49"/>
        </w:trPr>
        <w:tc>
          <w:tcPr>
            <w:tcW w:w="3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2012 RSU</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2012 RSU</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Acquired</w:t>
            </w:r>
          </w:p>
        </w:tc>
        <w:tc>
          <w:tcPr>
            <w:tcW w:w="1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2013 Performance</w:t>
            </w:r>
          </w:p>
        </w:tc>
        <w:tc>
          <w:tcPr>
            <w:tcW w:w="28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RSU, Career</w:t>
            </w:r>
          </w:p>
        </w:tc>
      </w:tr>
      <w:tr>
        <w:trPr>
          <w:trHeight w:val="149"/>
        </w:trPr>
        <w:tc>
          <w:tcPr>
            <w:tcW w:w="3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w:t>
            </w:r>
          </w:p>
        </w:tc>
        <w:tc>
          <w:tcPr>
            <w:tcW w:w="2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Career Shares</w:t>
            </w: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60" w:type="dxa"/>
            <w:vAlign w:val="bottom"/>
          </w:tcPr>
          <w:p>
            <w:pPr>
              <w:spacing w:after="0"/>
              <w:rPr>
                <w:sz w:val="12"/>
                <w:szCs w:val="12"/>
                <w:color w:val="auto"/>
              </w:rPr>
            </w:pPr>
          </w:p>
        </w:tc>
        <w:tc>
          <w:tcPr>
            <w:tcW w:w="100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Share Value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 and</w:t>
            </w:r>
          </w:p>
        </w:tc>
      </w:tr>
      <w:tr>
        <w:trPr>
          <w:trHeight w:val="149"/>
        </w:trPr>
        <w:tc>
          <w:tcPr>
            <w:tcW w:w="3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28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 on</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2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Realized on Vesting</w:t>
            </w:r>
          </w:p>
        </w:tc>
        <w:tc>
          <w:tcPr>
            <w:tcW w:w="2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r>
      <w:tr>
        <w:trPr>
          <w:trHeight w:val="165"/>
        </w:trPr>
        <w:tc>
          <w:tcPr>
            <w:tcW w:w="3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on Vesting</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(2013-2015 Awards)</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(2013-2015 Awards)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Share Value</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3,456,972</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1,500,590</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15,910,649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20,868,211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1,352,906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480,150</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43,125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4,221,506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6,054,562</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1,197,480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600,188</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51,611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5,052,201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6,849,869</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1,197,480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600,188</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51,611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5,052,201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6,849,869</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561,687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360,113</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37,949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3,714,828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4,636,628</w:t>
            </w:r>
          </w:p>
        </w:tc>
        <w:tc>
          <w:tcPr>
            <w:tcW w:w="10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dividend equivalent payments, including interest, in the following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6"/>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6"/>
              </w:rPr>
              <w:t>2013 Performance</w:t>
            </w:r>
          </w:p>
        </w:tc>
        <w:tc>
          <w:tcPr>
            <w:tcW w:w="120" w:type="dxa"/>
            <w:vAlign w:val="bottom"/>
          </w:tcPr>
          <w:p>
            <w:pPr>
              <w:spacing w:after="0"/>
              <w:rPr>
                <w:sz w:val="13"/>
                <w:szCs w:val="13"/>
                <w:color w:val="auto"/>
              </w:rPr>
            </w:pPr>
          </w:p>
        </w:tc>
        <w:tc>
          <w:tcPr>
            <w:tcW w:w="6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gridSpan w:val="3"/>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2012 RSU</w:t>
            </w:r>
          </w:p>
        </w:tc>
        <w:tc>
          <w:tcPr>
            <w:tcW w:w="17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2012 Career Share</w:t>
            </w:r>
          </w:p>
        </w:tc>
        <w:tc>
          <w:tcPr>
            <w:tcW w:w="120" w:type="dxa"/>
            <w:vAlign w:val="bottom"/>
          </w:tcPr>
          <w:p>
            <w:pPr>
              <w:spacing w:after="0"/>
              <w:rPr>
                <w:sz w:val="12"/>
                <w:szCs w:val="12"/>
                <w:color w:val="auto"/>
              </w:rPr>
            </w:pPr>
          </w:p>
        </w:tc>
        <w:tc>
          <w:tcPr>
            <w:tcW w:w="1020" w:type="dxa"/>
            <w:vAlign w:val="bottom"/>
            <w:gridSpan w:val="3"/>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 Dividend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Dividend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gridSpan w:val="3"/>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740" w:type="dxa"/>
            <w:vAlign w:val="bottom"/>
            <w:gridSpan w:val="6"/>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20" w:type="dxa"/>
            <w:vAlign w:val="bottom"/>
          </w:tcPr>
          <w:p>
            <w:pPr>
              <w:spacing w:after="0"/>
              <w:rPr>
                <w:sz w:val="12"/>
                <w:szCs w:val="12"/>
                <w:color w:val="auto"/>
              </w:rPr>
            </w:pPr>
          </w:p>
        </w:tc>
        <w:tc>
          <w:tcPr>
            <w:tcW w:w="1020" w:type="dxa"/>
            <w:vAlign w:val="bottom"/>
            <w:gridSpan w:val="3"/>
          </w:tcPr>
          <w:p>
            <w:pPr>
              <w:jc w:val="center"/>
              <w:ind w:left="69"/>
              <w:spacing w:after="0" w:line="149" w:lineRule="exact"/>
              <w:rPr>
                <w:sz w:val="20"/>
                <w:szCs w:val="20"/>
                <w:color w:val="auto"/>
              </w:rPr>
            </w:pPr>
            <w:r>
              <w:rPr>
                <w:rFonts w:ascii="Times New Roman" w:cs="Times New Roman" w:eastAsia="Times New Roman" w:hAnsi="Times New Roman"/>
                <w:sz w:val="14"/>
                <w:szCs w:val="14"/>
                <w:b w:val="1"/>
                <w:bCs w:val="1"/>
                <w:color w:val="auto"/>
                <w:w w:val="95"/>
              </w:rPr>
              <w:t>Equivalents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Equivalent</w:t>
            </w: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7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(2013-2015 Awards)</w:t>
            </w:r>
          </w:p>
        </w:tc>
        <w:tc>
          <w:tcPr>
            <w:tcW w:w="7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Payments</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Simoncini</w:t>
            </w:r>
          </w:p>
        </w:tc>
        <w:tc>
          <w:tcPr>
            <w:tcW w:w="2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68,854</w:t>
            </w:r>
          </w:p>
        </w:tc>
        <w:tc>
          <w:tcPr>
            <w:tcW w:w="7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30,641</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421,391</w:t>
            </w: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$520,886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H. Vanneste</w:t>
            </w:r>
          </w:p>
        </w:tc>
        <w:tc>
          <w:tcPr>
            <w:tcW w:w="24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25,434</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111,806</w:t>
            </w:r>
          </w:p>
        </w:tc>
        <w:tc>
          <w:tcPr>
            <w:tcW w:w="30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$147,044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242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23,851</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$169,913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Terrence B. Larkin</w:t>
            </w:r>
          </w:p>
        </w:tc>
        <w:tc>
          <w:tcPr>
            <w:tcW w:w="24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23,851</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133,807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$169,913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242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10,532</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$ 116,272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60" w:type="dxa"/>
            <w:vAlign w:val="bottom"/>
            <w:gridSpan w:val="4"/>
          </w:tcPr>
          <w:p>
            <w:pPr>
              <w:ind w:left="1580"/>
              <w:spacing w:after="0"/>
              <w:rPr>
                <w:sz w:val="20"/>
                <w:szCs w:val="20"/>
                <w:color w:val="auto"/>
              </w:rPr>
            </w:pPr>
            <w:r>
              <w:rPr>
                <w:rFonts w:ascii="Times New Roman" w:cs="Times New Roman" w:eastAsia="Times New Roman" w:hAnsi="Times New Roman"/>
                <w:sz w:val="18"/>
                <w:szCs w:val="18"/>
                <w:b w:val="1"/>
                <w:bCs w:val="1"/>
                <w:color w:val="auto"/>
              </w:rPr>
              <w:t>2015 PENSION BENEFITS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Years</w:t>
            </w: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of Years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Present</w:t>
            </w:r>
          </w:p>
        </w:tc>
        <w:tc>
          <w:tcPr>
            <w:tcW w:w="12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Payments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120" w:type="dxa"/>
            <w:vAlign w:val="bottom"/>
          </w:tcPr>
          <w:p>
            <w:pPr>
              <w:spacing w:after="0"/>
              <w:rPr>
                <w:sz w:val="12"/>
                <w:szCs w:val="12"/>
                <w:color w:val="auto"/>
              </w:rPr>
            </w:pPr>
          </w:p>
        </w:tc>
        <w:tc>
          <w:tcPr>
            <w:tcW w:w="4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Name(a)</w:t>
            </w:r>
          </w:p>
        </w:tc>
        <w:tc>
          <w:tcPr>
            <w:tcW w:w="2560" w:type="dxa"/>
            <w:vAlign w:val="bottom"/>
            <w:vMerge w:val="restart"/>
          </w:tcPr>
          <w:p>
            <w:pPr>
              <w:spacing w:after="0"/>
              <w:rPr>
                <w:sz w:val="12"/>
                <w:szCs w:val="12"/>
                <w:color w:val="auto"/>
              </w:rPr>
            </w:pPr>
          </w:p>
        </w:tc>
        <w:tc>
          <w:tcPr>
            <w:tcW w:w="3760" w:type="dxa"/>
            <w:vAlign w:val="bottom"/>
            <w:gridSpan w:val="4"/>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Plan Name(s)(b)</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42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Last Fiscal</w:t>
            </w: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376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tcPr>
          <w:p>
            <w:pPr>
              <w:jc w:val="center"/>
              <w:ind w:right="420"/>
              <w:spacing w:after="0" w:line="152" w:lineRule="exact"/>
              <w:rPr>
                <w:sz w:val="20"/>
                <w:szCs w:val="20"/>
                <w:color w:val="auto"/>
              </w:rPr>
            </w:pPr>
            <w:r>
              <w:rPr>
                <w:rFonts w:ascii="Times New Roman" w:cs="Times New Roman" w:eastAsia="Times New Roman" w:hAnsi="Times New Roman"/>
                <w:sz w:val="14"/>
                <w:szCs w:val="14"/>
                <w:b w:val="1"/>
                <w:bCs w:val="1"/>
                <w:color w:val="auto"/>
              </w:rPr>
              <w:t>(c)</w:t>
            </w:r>
          </w:p>
        </w:tc>
        <w:tc>
          <w:tcPr>
            <w:tcW w:w="5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3"/>
              </w:rPr>
              <w:t>Service(1)</w:t>
            </w:r>
          </w:p>
        </w:tc>
        <w:tc>
          <w:tcPr>
            <w:tcW w:w="420" w:type="dxa"/>
            <w:vAlign w:val="bottom"/>
          </w:tcPr>
          <w:p>
            <w:pPr>
              <w:spacing w:after="0"/>
              <w:rPr>
                <w:sz w:val="14"/>
                <w:szCs w:val="14"/>
                <w:color w:val="auto"/>
              </w:rPr>
            </w:pPr>
          </w:p>
        </w:tc>
        <w:tc>
          <w:tcPr>
            <w:tcW w:w="1060" w:type="dxa"/>
            <w:vAlign w:val="bottom"/>
            <w:gridSpan w:val="4"/>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Benefit(2)(d)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Year(e)</w:t>
            </w:r>
          </w:p>
        </w:tc>
        <w:tc>
          <w:tcPr>
            <w:tcW w:w="0" w:type="dxa"/>
            <w:vAlign w:val="bottom"/>
          </w:tcPr>
          <w:p>
            <w:pPr>
              <w:spacing w:after="0"/>
              <w:rPr>
                <w:sz w:val="1"/>
                <w:szCs w:val="1"/>
                <w:color w:val="auto"/>
              </w:rPr>
            </w:pPr>
          </w:p>
        </w:tc>
      </w:tr>
      <w:tr>
        <w:trPr>
          <w:trHeight w:val="203"/>
        </w:trPr>
        <w:tc>
          <w:tcPr>
            <w:tcW w:w="3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Matthew J. Simoncini</w:t>
            </w:r>
          </w:p>
        </w:tc>
        <w:tc>
          <w:tcPr>
            <w:tcW w:w="424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Pension Plan (tax-qualified plan)</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186,177</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Pension Equalization Program</w:t>
            </w: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92,604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43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Salaried Retirement Restoration Program</w:t>
            </w:r>
          </w:p>
        </w:tc>
        <w:tc>
          <w:tcPr>
            <w:tcW w:w="12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103,494</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H. Vanneste(3)</w:t>
            </w:r>
          </w:p>
        </w:tc>
        <w:tc>
          <w:tcPr>
            <w:tcW w:w="43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Pension Plan (tax-qualified plan)</w:t>
            </w: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398,415</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43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Pension Equalization Program</w:t>
            </w:r>
          </w:p>
        </w:tc>
        <w:tc>
          <w:tcPr>
            <w:tcW w:w="12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84,337</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Salaried Retirement Restoration Program</w:t>
            </w: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363,210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E. Scott</w:t>
            </w:r>
          </w:p>
        </w:tc>
        <w:tc>
          <w:tcPr>
            <w:tcW w:w="43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Pension Plan (tax-qualified plan)</w:t>
            </w:r>
          </w:p>
        </w:tc>
        <w:tc>
          <w:tcPr>
            <w:tcW w:w="12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374,811</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Pension Equalization Program</w:t>
            </w: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534,839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43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Salaried Retirement Restoration Program</w:t>
            </w:r>
          </w:p>
        </w:tc>
        <w:tc>
          <w:tcPr>
            <w:tcW w:w="12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346,807</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Terrence B. Larkin(4)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Orsini</w:t>
            </w:r>
          </w:p>
        </w:tc>
        <w:tc>
          <w:tcPr>
            <w:tcW w:w="43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Pension Plan (tax-qualified plan)</w:t>
            </w:r>
          </w:p>
        </w:tc>
        <w:tc>
          <w:tcPr>
            <w:tcW w:w="12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189,540</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Pension Equalization Program</w:t>
            </w: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12.7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81,489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43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Salaried Retirement Restoration Program</w:t>
            </w:r>
          </w:p>
        </w:tc>
        <w:tc>
          <w:tcPr>
            <w:tcW w:w="12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104,238</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3"/>
        </w:trPr>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520" w:hanging="452"/>
        <w:spacing w:after="0" w:line="334" w:lineRule="auto"/>
        <w:tabs>
          <w:tab w:leader="none" w:pos="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pension programs were frozen with respect to any new benefits as of December 31, 2006, but vesting service continues to accrue after such date towards vesting requirements. As a result of their vesting service and/or age and service, all participating NEOs are vested in their pension benefits.</w:t>
      </w:r>
    </w:p>
    <w:p>
      <w:pPr>
        <w:spacing w:after="0" w:line="1" w:lineRule="exact"/>
        <w:rPr>
          <w:rFonts w:ascii="Times New Roman" w:cs="Times New Roman" w:eastAsia="Times New Roman" w:hAnsi="Times New Roman"/>
          <w:sz w:val="16"/>
          <w:szCs w:val="16"/>
          <w:color w:val="auto"/>
        </w:rPr>
      </w:pPr>
    </w:p>
    <w:p>
      <w:pPr>
        <w:ind w:left="460" w:hanging="452"/>
        <w:spacing w:after="0" w:line="255"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values determined using a December 31, 2015 measurement date and reflect benefits accrued based on service and pay earned through such date. Figures for the tax-qualified pension plan are determined based on post-commencement valuation mortality (2016 IRS Applicable Mortality Table for Code Section 417(e)), commencement of benefits at age 65 and an assumed discount rate of 4.50% as of the measurement date. Figures for the Pension Equalization Program and the Salaried Retirement Restoration Program (collectively, the “SERP”) are determined based on the 2016 IRS Applicable Mortality Table for Code Section 417(e), commencement of benefits at the later of age 60 and full vesting and an assumed discount rate of 3.40% as of the measurement date. The assumed future SERP present value conversion rate for those not yet in payment is 3.03%.</w:t>
      </w:r>
    </w:p>
    <w:p>
      <w:pPr>
        <w:spacing w:after="0" w:line="5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Vanneste was credited with prior service for his past affiliation with the Company in accordance with plan provisions.</w:t>
      </w:r>
    </w:p>
    <w:p>
      <w:pPr>
        <w:spacing w:after="0" w:line="90" w:lineRule="exact"/>
        <w:rPr>
          <w:rFonts w:ascii="Times New Roman" w:cs="Times New Roman" w:eastAsia="Times New Roman" w:hAnsi="Times New Roman"/>
          <w:sz w:val="18"/>
          <w:szCs w:val="18"/>
          <w:color w:val="auto"/>
        </w:rPr>
      </w:pPr>
    </w:p>
    <w:p>
      <w:pPr>
        <w:ind w:left="460" w:right="240" w:hanging="452"/>
        <w:spacing w:after="0" w:line="275"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Larkin is not a participant in the Pension Plan, Pension Equalization Program or Salaried Retirement Restoration Program pension make-up account (“Pension Make-Up Account”).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Pension Plan</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Named Executive Officers (as well as other eligible employees), other than Mr. Larkin,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the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13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Pension Plan contains multiple benefit formulas. Under the principal formula, which applies to all applicable Named Executive Officers, pension benefits are based on a participant’s “final average pay,” which is the average of the participant’s compensation for the five calendar years in the last ten years of employment in which the participant had his highest earnings. Compensation is generally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58" w:lineRule="exact"/>
        <w:rPr>
          <w:sz w:val="20"/>
          <w:szCs w:val="20"/>
          <w:color w:val="auto"/>
        </w:rPr>
      </w:pPr>
    </w:p>
    <w:p>
      <w:pPr>
        <w:ind w:left="660" w:right="80" w:hanging="206"/>
        <w:spacing w:after="0" w:line="289"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w:t>
      </w:r>
    </w:p>
    <w:p>
      <w:pPr>
        <w:spacing w:after="0" w:line="1" w:lineRule="exact"/>
        <w:rPr>
          <w:rFonts w:ascii="Times New Roman" w:cs="Times New Roman" w:eastAsia="Times New Roman" w:hAnsi="Times New Roman"/>
          <w:sz w:val="16"/>
          <w:szCs w:val="16"/>
          <w:color w:val="auto"/>
        </w:rPr>
      </w:pPr>
    </w:p>
    <w:p>
      <w:pPr>
        <w:ind w:left="660" w:right="8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 0.65% times final average annual earnings in excess of covered compensation (as defined in IRS Notice 89-70) times years of credited service (with a maximum of 35 years); and</w:t>
      </w:r>
    </w:p>
    <w:p>
      <w:pPr>
        <w:spacing w:after="0" w:line="50" w:lineRule="exact"/>
        <w:rPr>
          <w:rFonts w:ascii="Times New Roman" w:cs="Times New Roman" w:eastAsia="Times New Roman" w:hAnsi="Times New Roman"/>
          <w:sz w:val="16"/>
          <w:szCs w:val="16"/>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$360.00 times years of credited service.</w:t>
      </w:r>
    </w:p>
    <w:p>
      <w:pPr>
        <w:spacing w:after="0" w:line="17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Any employee who on December 31, 1996 was an active participant and age 50 or older earned benefits under the 1.10% formula for years of credited service through 2001.</w:t>
      </w:r>
    </w:p>
    <w:p>
      <w:pPr>
        <w:spacing w:after="0" w:line="120" w:lineRule="exact"/>
        <w:rPr>
          <w:sz w:val="20"/>
          <w:szCs w:val="20"/>
          <w:color w:val="auto"/>
        </w:rPr>
      </w:pPr>
    </w:p>
    <w:p>
      <w:pPr>
        <w:jc w:val="both"/>
        <w:ind w:right="520" w:firstLine="456"/>
        <w:spacing w:after="0" w:line="262" w:lineRule="auto"/>
        <w:rPr>
          <w:sz w:val="20"/>
          <w:szCs w:val="20"/>
          <w:color w:val="auto"/>
        </w:rPr>
      </w:pPr>
      <w:r>
        <w:rPr>
          <w:rFonts w:ascii="Times New Roman" w:cs="Times New Roman" w:eastAsia="Times New Roman" w:hAnsi="Times New Roman"/>
          <w:sz w:val="18"/>
          <w:szCs w:val="18"/>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participant accrues five years of vesting service under the plan. Service performed after December 31, 2006 will continue to count towards vesting credit even though no additional benefits will accrue under the plan after that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Equalization Program</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 Officers other than Mr. Larkin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13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receive any cash payments until the participant retires or otherwise terminates employment with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 Corporation Salaried Retirement Restoration Program</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Salaried Retirement Restoration Program has both defined benefit and defined contribution elements. The defined benefit element has been quantified and described in the 2015 Pension Benefits table and in the narrative below. The 2015 Nonqualified Deferred Compensation table below identifies the defined contribution components of the Salaried Retirement Restoration Program.</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On November 14, 2012, the Compensation Committee approved an amendment and restatement of the Lear Corporation Salaried Retirement Restoration Program. The amendment renamed the plan to its current name and, for eligible participants, reinstated, effective January 1, 2013, non-qualified elective deferrals of salary and annual incentive award/bonus and associated Company matching contributions into the plan.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Element</w:t>
      </w:r>
    </w:p>
    <w:p>
      <w:pPr>
        <w:spacing w:after="0" w:line="94"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Salaried Retirement Restoration Program as from time to time was in effect.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Element</w:t>
      </w:r>
    </w:p>
    <w:p>
      <w:pPr>
        <w:spacing w:after="0" w:line="94" w:lineRule="exact"/>
        <w:rPr>
          <w:sz w:val="20"/>
          <w:szCs w:val="20"/>
          <w:color w:val="auto"/>
        </w:rPr>
      </w:pPr>
    </w:p>
    <w:p>
      <w:pPr>
        <w:ind w:right="340" w:firstLine="456"/>
        <w:spacing w:after="0" w:line="254" w:lineRule="auto"/>
        <w:rPr>
          <w:sz w:val="20"/>
          <w:szCs w:val="20"/>
          <w:color w:val="auto"/>
        </w:rPr>
      </w:pPr>
      <w:r>
        <w:rPr>
          <w:rFonts w:ascii="Times New Roman" w:cs="Times New Roman" w:eastAsia="Times New Roman" w:hAnsi="Times New Roman"/>
          <w:sz w:val="18"/>
          <w:szCs w:val="18"/>
          <w:color w:val="auto"/>
        </w:rPr>
        <w:t>In 2015, the defined contribution component of the Salaried Retirement Restoration Program generally provided a defined contribution benefit of an amount that the participant would have received under the Pension Savings Plan but could not 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 Retirement Restoration Program after three years of vesting service. Distributions of the excess Pension Savings Plan contributions, deferral contributions, and Company matching contributions are made in a lump sum in the calendar year following the year of the participant’s termination of employment.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NONQUALIFIED DEFERRED COMPENSATION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34"/>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Executive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Company</w:t>
            </w:r>
          </w:p>
        </w:tc>
        <w:tc>
          <w:tcPr>
            <w:tcW w:w="9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2"/>
                <w:szCs w:val="12"/>
                <w:color w:val="auto"/>
              </w:rPr>
            </w:pPr>
          </w:p>
        </w:tc>
        <w:tc>
          <w:tcPr>
            <w:tcW w:w="8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Name(a)</w:t>
            </w:r>
          </w:p>
        </w:tc>
        <w:tc>
          <w:tcPr>
            <w:tcW w:w="29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320" w:type="dxa"/>
            <w:vAlign w:val="bottom"/>
          </w:tcPr>
          <w:p>
            <w:pPr>
              <w:spacing w:after="0"/>
              <w:rPr>
                <w:sz w:val="12"/>
                <w:szCs w:val="12"/>
                <w:color w:val="auto"/>
              </w:rPr>
            </w:pPr>
          </w:p>
        </w:tc>
        <w:tc>
          <w:tcPr>
            <w:tcW w:w="124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10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 Last</w:t>
            </w: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in Last FY(b)</w:t>
            </w:r>
          </w:p>
        </w:tc>
        <w:tc>
          <w:tcPr>
            <w:tcW w:w="320" w:type="dxa"/>
            <w:vAlign w:val="bottom"/>
          </w:tcPr>
          <w:p>
            <w:pPr>
              <w:spacing w:after="0"/>
              <w:rPr>
                <w:sz w:val="14"/>
                <w:szCs w:val="14"/>
                <w:color w:val="auto"/>
              </w:rPr>
            </w:pPr>
          </w:p>
        </w:tc>
        <w:tc>
          <w:tcPr>
            <w:tcW w:w="12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in Last FY(1)(c)</w:t>
            </w:r>
          </w:p>
        </w:tc>
        <w:tc>
          <w:tcPr>
            <w:tcW w:w="980" w:type="dxa"/>
            <w:vAlign w:val="bottom"/>
            <w:gridSpan w:val="3"/>
          </w:tcPr>
          <w:p>
            <w:pPr>
              <w:jc w:val="center"/>
              <w:ind w:right="3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FY(d)(2)</w:t>
            </w:r>
          </w:p>
        </w:tc>
        <w:tc>
          <w:tcPr>
            <w:tcW w:w="9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5"/>
              </w:rPr>
              <w:t>Distributions(e)</w:t>
            </w:r>
          </w:p>
        </w:tc>
        <w:tc>
          <w:tcPr>
            <w:tcW w:w="300" w:type="dxa"/>
            <w:vAlign w:val="bottom"/>
          </w:tcPr>
          <w:p>
            <w:pPr>
              <w:spacing w:after="0"/>
              <w:rPr>
                <w:sz w:val="14"/>
                <w:szCs w:val="14"/>
                <w:color w:val="auto"/>
              </w:rPr>
            </w:pPr>
          </w:p>
        </w:tc>
        <w:tc>
          <w:tcPr>
            <w:tcW w:w="9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Last FYE(f)(3)</w:t>
            </w:r>
          </w:p>
        </w:tc>
        <w:tc>
          <w:tcPr>
            <w:tcW w:w="0" w:type="dxa"/>
            <w:vAlign w:val="bottom"/>
          </w:tcPr>
          <w:p>
            <w:pPr>
              <w:spacing w:after="0"/>
              <w:rPr>
                <w:sz w:val="1"/>
                <w:szCs w:val="1"/>
                <w:color w:val="auto"/>
              </w:rPr>
            </w:pPr>
          </w:p>
        </w:tc>
      </w:tr>
      <w:tr>
        <w:trPr>
          <w:trHeight w:val="189"/>
        </w:trPr>
        <w:tc>
          <w:tcPr>
            <w:tcW w:w="3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Matthew J. Simoncini</w:t>
            </w:r>
          </w:p>
        </w:tc>
        <w:tc>
          <w:tcPr>
            <w:tcW w:w="22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Salaried Retirement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267,368</w:t>
            </w: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629,271</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26,533</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3,108,795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Restoration Program</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Vested Career Shares</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1,531,231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22,815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1,554,046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Jeffrey H. Vanneste</w:t>
            </w:r>
          </w:p>
        </w:tc>
        <w:tc>
          <w:tcPr>
            <w:tcW w:w="220" w:type="dxa"/>
            <w:vAlign w:val="bottom"/>
          </w:tcPr>
          <w:p>
            <w:pPr>
              <w:spacing w:after="0"/>
              <w:rPr>
                <w:sz w:val="17"/>
                <w:szCs w:val="17"/>
                <w:color w:val="auto"/>
              </w:rPr>
            </w:pPr>
          </w:p>
        </w:tc>
        <w:tc>
          <w:tcPr>
            <w:tcW w:w="212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Salaried Retirement</w:t>
            </w:r>
          </w:p>
        </w:tc>
        <w:tc>
          <w:tcPr>
            <w:tcW w:w="22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101,625</w:t>
            </w:r>
          </w:p>
        </w:tc>
        <w:tc>
          <w:tcPr>
            <w:tcW w:w="460" w:type="dxa"/>
            <w:vAlign w:val="bottom"/>
            <w:gridSpan w:val="2"/>
          </w:tcPr>
          <w:p>
            <w:pPr>
              <w:ind w:left="3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214,915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853,318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Restoration Program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Vested Career Shares</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489,954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7,301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4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Raymond E. Scott</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Salaried Retirement</w:t>
            </w:r>
          </w:p>
        </w:tc>
        <w:tc>
          <w:tcPr>
            <w:tcW w:w="220" w:type="dxa"/>
            <w:vAlign w:val="bottom"/>
            <w:gridSpan w:val="2"/>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114,813</w:t>
            </w:r>
          </w:p>
        </w:tc>
        <w:tc>
          <w:tcPr>
            <w:tcW w:w="460" w:type="dxa"/>
            <w:vAlign w:val="bottom"/>
            <w:gridSpan w:val="2"/>
            <w:shd w:val="clear" w:color="auto" w:fill="CCEEFF"/>
          </w:tcPr>
          <w:p>
            <w:pPr>
              <w:ind w:left="3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line="204" w:lineRule="exact"/>
              <w:rPr>
                <w:sz w:val="20"/>
                <w:szCs w:val="20"/>
                <w:color w:val="auto"/>
              </w:rPr>
            </w:pPr>
            <w:r>
              <w:rPr>
                <w:rFonts w:ascii="Times New Roman" w:cs="Times New Roman" w:eastAsia="Times New Roman" w:hAnsi="Times New Roman"/>
                <w:sz w:val="18"/>
                <w:szCs w:val="18"/>
                <w:color w:val="auto"/>
              </w:rPr>
              <w:t>247,886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80"/>
              <w:spacing w:after="0" w:line="204" w:lineRule="exact"/>
              <w:rPr>
                <w:sz w:val="20"/>
                <w:szCs w:val="20"/>
                <w:color w:val="auto"/>
              </w:rPr>
            </w:pPr>
            <w:r>
              <w:rPr>
                <w:rFonts w:ascii="Times New Roman" w:cs="Times New Roman" w:eastAsia="Times New Roman" w:hAnsi="Times New Roman"/>
                <w:sz w:val="18"/>
                <w:szCs w:val="18"/>
                <w:color w:val="auto"/>
                <w:w w:val="94"/>
              </w:rPr>
              <w:t>(16,234)</w:t>
            </w:r>
          </w:p>
        </w:tc>
        <w:tc>
          <w:tcPr>
            <w:tcW w:w="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1,776,292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Restoration Program</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Vested Career Shares</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612,443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Terrence B. Larkin</w:t>
            </w:r>
          </w:p>
        </w:tc>
        <w:tc>
          <w:tcPr>
            <w:tcW w:w="220" w:type="dxa"/>
            <w:vAlign w:val="bottom"/>
          </w:tcPr>
          <w:p>
            <w:pPr>
              <w:spacing w:after="0"/>
              <w:rPr>
                <w:sz w:val="17"/>
                <w:szCs w:val="17"/>
                <w:color w:val="auto"/>
              </w:rPr>
            </w:pPr>
          </w:p>
        </w:tc>
        <w:tc>
          <w:tcPr>
            <w:tcW w:w="212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Salaried Retirement</w:t>
            </w:r>
          </w:p>
        </w:tc>
        <w:tc>
          <w:tcPr>
            <w:tcW w:w="22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114,813</w:t>
            </w:r>
          </w:p>
        </w:tc>
        <w:tc>
          <w:tcPr>
            <w:tcW w:w="460" w:type="dxa"/>
            <w:vAlign w:val="bottom"/>
            <w:gridSpan w:val="2"/>
          </w:tcPr>
          <w:p>
            <w:pPr>
              <w:ind w:left="3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222,555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5,586</w:t>
            </w:r>
          </w:p>
        </w:tc>
        <w:tc>
          <w:tcPr>
            <w:tcW w:w="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99"/>
              </w:rPr>
              <w:t>1,546,646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Restoration Program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Vested Career Shares</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612,443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4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Frank C. Orsini</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Salaried Retirement</w:t>
            </w:r>
          </w:p>
        </w:tc>
        <w:tc>
          <w:tcPr>
            <w:tcW w:w="220" w:type="dxa"/>
            <w:vAlign w:val="bottom"/>
            <w:gridSpan w:val="2"/>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87,989</w:t>
            </w:r>
          </w:p>
        </w:tc>
        <w:tc>
          <w:tcPr>
            <w:tcW w:w="460" w:type="dxa"/>
            <w:vAlign w:val="bottom"/>
            <w:gridSpan w:val="2"/>
            <w:shd w:val="clear" w:color="auto" w:fill="CCEEFF"/>
          </w:tcPr>
          <w:p>
            <w:pPr>
              <w:ind w:left="3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line="204" w:lineRule="exact"/>
              <w:rPr>
                <w:sz w:val="20"/>
                <w:szCs w:val="20"/>
                <w:color w:val="auto"/>
              </w:rPr>
            </w:pPr>
            <w:r>
              <w:rPr>
                <w:rFonts w:ascii="Times New Roman" w:cs="Times New Roman" w:eastAsia="Times New Roman" w:hAnsi="Times New Roman"/>
                <w:sz w:val="18"/>
                <w:szCs w:val="18"/>
                <w:color w:val="auto"/>
              </w:rPr>
              <w:t>182,676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340"/>
              <w:spacing w:after="0" w:line="204" w:lineRule="exact"/>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804,311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Restoration Program</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Vested Career Shares</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367,466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8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Salaried Retirement Restoration Program amounts are included in column (i) of the 2015 Summary Compensation Table. For Vested Career Shares, amounts represent the value of the Vested Career Shares (and accrued dividend equivalents) on November 14, 2015, the vesting date.</w:t>
      </w:r>
    </w:p>
    <w:p>
      <w:pPr>
        <w:spacing w:after="0" w:line="38"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Vested Career Shares, amounts represent accrued dividend equivalents plus stock price appreciation or depreciation and represent the difference between the values in columns (c) and (f).</w:t>
      </w:r>
    </w:p>
    <w:p>
      <w:pPr>
        <w:spacing w:after="0" w:line="38" w:lineRule="exact"/>
        <w:rPr>
          <w:rFonts w:ascii="Times New Roman" w:cs="Times New Roman" w:eastAsia="Times New Roman" w:hAnsi="Times New Roman"/>
          <w:sz w:val="18"/>
          <w:szCs w:val="18"/>
          <w:color w:val="auto"/>
        </w:rPr>
      </w:pPr>
    </w:p>
    <w:p>
      <w:pPr>
        <w:ind w:left="460" w:right="42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Vested Career Shares, amounts reflect the closing price of the Company’s common stock on December 31, 2015, which was $122.83, and accrued dividend equivalents (see the 2015 Options Exercised and Stock Vested table for more information).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Salaried Retirement Restoration Program</w:t>
      </w:r>
    </w:p>
    <w:p>
      <w:pPr>
        <w:spacing w:after="0" w:line="94"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defined contribution element of the Salaried Retirement Restoration Program is described in the narrative accompanying the 2015 Pension Benefits table above and is quantified in the 2015 Nonqualified Deferred Compensation table.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table below shows estimates of the compensation payable to each of our Named Executive Officers upon his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2015. Values of accelerated equity awards are based on the closing price of our common stock on December 31, 2015, which was $122.83.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141"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Accrued amounts under the Company’s pension and deferred compensation plans are not included in this table. For these amounts, see the 2015 Pension Benefits table above and the 2015 Nonqualified Deferred Compensation table above.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Continuation of</w:t>
            </w:r>
          </w:p>
        </w:tc>
        <w:tc>
          <w:tcPr>
            <w:tcW w:w="9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Vesting 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Medical/Welfare</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Payout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7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2"/>
                <w:szCs w:val="12"/>
                <w:color w:val="auto"/>
              </w:rPr>
            </w:pPr>
          </w:p>
        </w:tc>
        <w:tc>
          <w:tcPr>
            <w:tcW w:w="138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Benefits (Present</w:t>
            </w:r>
          </w:p>
        </w:tc>
        <w:tc>
          <w:tcPr>
            <w:tcW w:w="80" w:type="dxa"/>
            <w:vAlign w:val="bottom"/>
          </w:tcPr>
          <w:p>
            <w:pPr>
              <w:spacing w:after="0"/>
              <w:rPr>
                <w:sz w:val="12"/>
                <w:szCs w:val="12"/>
                <w:color w:val="auto"/>
              </w:rPr>
            </w:pPr>
          </w:p>
        </w:tc>
        <w:tc>
          <w:tcPr>
            <w:tcW w:w="82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200" w:type="dxa"/>
            <w:vAlign w:val="bottom"/>
          </w:tcPr>
          <w:p>
            <w:pPr>
              <w:spacing w:after="0"/>
              <w:rPr>
                <w:sz w:val="12"/>
                <w:szCs w:val="12"/>
                <w:color w:val="auto"/>
              </w:rPr>
            </w:pPr>
          </w:p>
        </w:tc>
        <w:tc>
          <w:tcPr>
            <w:tcW w:w="78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Officer</w:t>
            </w:r>
          </w:p>
        </w:tc>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Severance(1)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Value)(2)</w:t>
            </w:r>
          </w:p>
        </w:tc>
        <w:tc>
          <w:tcPr>
            <w:tcW w:w="90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Awards(3)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00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Matthew J. Simoncini</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 With Change in Control</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6,741,000</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28,895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26,665,488</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33,435,383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6,741,000</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28,895</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18,486,284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25,256,179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Retirement(4)</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5"/>
              </w:rPr>
              <w:t>16,114,445</w:t>
            </w: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16,114,445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Voluntary Termination (or Involuntary Termination for Cause)</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Disability</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19,131,223</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19,131,223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Death(5)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19,131,223</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19,131,223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Jeffrey H. Vanneste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 With Change in Control</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2,700,000</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28,895</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7,122,499</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9,851,394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2,700,000</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28,895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4,953,616</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7,682,511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Retirement(4)</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4,373,040</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4,373,040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Voluntary Termination (or Involuntary Termination for Cause)</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Disability</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5,226,484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5,226,484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Death(5)</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5,226,484</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5,226,484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Raymond E. Scott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 With Change in Control</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2,982,900</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25,646</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8,246,646</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11,255,192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2,982,900</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25,646</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5,778,579</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8,787,125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Retirement(4)</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Voluntary Termination (or Involuntary Termination for Cause)</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Disability</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6,051,447</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6,051,447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Death(5)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6,051,447</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6,051,447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Terrence B. Larkin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 With Change in Control</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2,982,900</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32,632</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8,246,646</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11,262,178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2,982,900</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32,632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5,778,579</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8,794,111</w:t>
            </w: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Retirement(4)</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5,120,725</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Voluntary Termination (or Involuntary Termination for Cause)</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Disability</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6,051,447</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6,051,447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Death(5)</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6,051,447</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6,051,447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Frank C. Orsini</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 With Change in Control</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2,568,750</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23,533</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6,510,596</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9,102,879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Involuntary Termination without Cause (or for Good Reason)</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2,568,750</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23,533</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4,513,506</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7,105,789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Retirement(4)</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Voluntary Termination (or Involuntary Termination for Cause)</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Disability</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4,687,049</w:t>
            </w:r>
          </w:p>
        </w:tc>
        <w:tc>
          <w:tcPr>
            <w:tcW w:w="20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4,687,049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Death(5)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4,687,049</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4,687,049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80" w:hanging="452"/>
        <w:spacing w:after="0" w:line="25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two times base salary plus target annual incentive bonus amount) is paid in a lump sum to each Named Executive Officer on the date that is six months after the date of termination (other than Mr. Vanneste, who receives cash severance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w:t>
      </w:r>
    </w:p>
    <w:p>
      <w:pPr>
        <w:spacing w:after="0" w:line="5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continuation of health insurance, life insurance premium and imputed income amounts.</w:t>
      </w:r>
    </w:p>
    <w:p>
      <w:pPr>
        <w:spacing w:after="0" w:line="90" w:lineRule="exact"/>
        <w:rPr>
          <w:rFonts w:ascii="Times New Roman" w:cs="Times New Roman" w:eastAsia="Times New Roman" w:hAnsi="Times New Roman"/>
          <w:sz w:val="18"/>
          <w:szCs w:val="18"/>
          <w:color w:val="auto"/>
        </w:rPr>
      </w:pPr>
    </w:p>
    <w:p>
      <w:pPr>
        <w:ind w:left="460" w:right="180" w:hanging="452"/>
        <w:spacing w:after="0" w:line="25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accelerated vesting of RSUs and accelerated or pro rata (as applicable)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and pro rata portions of the RSUs and performance shares are valued based on the December 31, 2015 closing price of the Company’s common stock.</w:t>
      </w:r>
    </w:p>
    <w:p>
      <w:pPr>
        <w:spacing w:after="0" w:line="58"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2015, Messrs. Simoncini, Vanneste and Larkin were retirement-eligible and, therefore, they qualify for accelerated vesting of certain incentive awards upon retirement. The Company does not provide for enhanced early retirement benefits under its pension programs.</w:t>
      </w:r>
    </w:p>
    <w:p>
      <w:pPr>
        <w:spacing w:after="0" w:line="38" w:lineRule="exact"/>
        <w:rPr>
          <w:rFonts w:ascii="Times New Roman" w:cs="Times New Roman" w:eastAsia="Times New Roman" w:hAnsi="Times New Roman"/>
          <w:sz w:val="18"/>
          <w:szCs w:val="18"/>
          <w:color w:val="auto"/>
        </w:rPr>
      </w:pPr>
    </w:p>
    <w:p>
      <w:pPr>
        <w:ind w:left="460" w:right="8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Simoncini, Vanneste, Scott and Orsini are fully vested in their pension benefits, and, as such, there would be no pension vesting enhancement with respect to death benefits for them. Mr. Larkin is not a participant in the Pension Plan and therefore is not eligible for such death benefit.</w:t>
      </w:r>
    </w:p>
    <w:p>
      <w:pPr>
        <w:spacing w:after="0" w:line="12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 generally available to our executive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 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Made Upon Involuntary Termination (or for “Good Reason”) with a Change in Control</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If a change in control occurs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None of our Named Executive Officers is a party to an employment agreement containing a provision which would 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Made Upon Involuntary Termination (or for “Good Reason”)</w:t>
      </w:r>
    </w:p>
    <w:p>
      <w:pPr>
        <w:spacing w:after="0" w:line="94"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a lump sum payment equal to two times the sum of his annual base salary rate and annual target bonus amount, each as in effect as of the termination date. In the event of an involuntary termination for any reason other than cause, or by the executive for good reason, all unvested RSUs (other than Career Shares) become vested in their entirety upon 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Made Upon Retirement</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employment agreements do not distinguish between retirement and voluntary termination for other reasons, but under the LTSIP, an executive who retires with a combined number of age and years of service of at least 65, with a minimum age of 55 and minimum service of five years when he terminates, is entitled to additional vesting credit for RSU awards. The executive will be entitled to receive the shares underlying the RSUs that would have vested if the date of 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Made Upon Voluntary Termination (or for “Cause”)</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attained a combined number of age and years of service of at least 65, with a minimum age of 55 and minimum service of five years, he will be entitled to receive all of the shares underlying his vested RSUs and associated dividend equivalents with interest, but all unvested RSUs and Performance Shares and any associated dividend equivalents with interest will be forfeited. If an executive is terminated for cause, he will forfeit all RSUs and Performance Shares along with any associated dividend equivalents with interest.</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Made Upon Termination for Disability</w:t>
      </w:r>
    </w:p>
    <w:p>
      <w:pPr>
        <w:spacing w:after="0" w:line="94"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Following termination of the executive’s employment for disability, the executive will receive all base salary and other accrued amounts then payable through the date of termination. He will also receive compensation payable under the Company’s disability and medical plans. In the event of the executive’s termination for disability, all unvested RSUs become vested in their entirety upon termination and a pro rata amount of Performance Shares may be earned through the termination date if actual performance during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performance period meets the pre-established performance requirements. In addition, executives would receive all dividend equivalents with interest associated with the accelerated RSUs and any Performance Shares earned at the time of distribution.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Treatment of Career Shares</w:t>
      </w:r>
    </w:p>
    <w:p>
      <w:pPr>
        <w:spacing w:after="0" w:line="94"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All Career Shares (vested and unvested) are forfeited by the executive upon a voluntary termination by the executive prior to the Career Share qualifying retirement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age 62 or the date that the executive attains a combined number of age and years of service of 65, with a minimum age of 55 and minimum service of five years) or for violating non-competition and non-solicitation covenants prior to distribution of the shares. If the executive has a Career Share qualifying retirement or is terminated without “cause” or resigns for “good reason,” in each case within 24 months of the vesting date, the Career Shares will continue to vest as originally scheduled.</w:t>
      </w:r>
    </w:p>
    <w:p>
      <w:pPr>
        <w:spacing w:after="0" w:line="139"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6"/>
          <w:szCs w:val="16"/>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w:t>
      </w:r>
    </w:p>
    <w:p>
      <w:pPr>
        <w:spacing w:after="0" w:line="1" w:lineRule="exact"/>
        <w:rPr>
          <w:sz w:val="20"/>
          <w:szCs w:val="20"/>
          <w:color w:val="auto"/>
        </w:rPr>
      </w:pPr>
    </w:p>
    <w:p>
      <w:pPr>
        <w:ind w:right="40" w:firstLine="8"/>
        <w:spacing w:after="0" w:line="254" w:lineRule="auto"/>
        <w:tabs>
          <w:tab w:leader="none" w:pos="2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62 (or such later vesting date) or (ii) three years after the executive’s qualifying retirement. If the executive has attained a combined number of age and years of service of at least 65, with a minimum age of 55 and minimum service of five years,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13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Made Upon Death</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Following the death of the executive, we will pay to his estate or designated beneficiary a pro rata portion of any bonus earned prior to the date of death. In the event of the executive’s death, all unvested RSUs become vested in their entirety and a pro rata amount of Performance Shares may be earned through the date of death if actual performance during 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Conditions and Obligations of the Executive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executive who has entered into an employment agreement with the Company is obligated to:</w:t>
      </w:r>
    </w:p>
    <w:p>
      <w:pPr>
        <w:spacing w:after="0" w:line="90" w:lineRule="exact"/>
        <w:rPr>
          <w:sz w:val="20"/>
          <w:szCs w:val="20"/>
          <w:color w:val="auto"/>
        </w:rPr>
      </w:pPr>
    </w:p>
    <w:p>
      <w:pPr>
        <w:ind w:left="660" w:hanging="206"/>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confidentiality, non-competition and non-solicitation covenants during employment;</w:t>
      </w:r>
    </w:p>
    <w:p>
      <w:pPr>
        <w:spacing w:after="0" w:line="90" w:lineRule="exact"/>
        <w:rPr>
          <w:rFonts w:ascii="Times New Roman" w:cs="Times New Roman" w:eastAsia="Times New Roman" w:hAnsi="Times New Roman"/>
          <w:sz w:val="18"/>
          <w:szCs w:val="18"/>
          <w:color w:val="auto"/>
        </w:rPr>
      </w:pPr>
    </w:p>
    <w:p>
      <w:pPr>
        <w:ind w:left="660" w:right="120" w:hanging="206"/>
        <w:spacing w:after="0" w:line="27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38" w:lineRule="exact"/>
        <w:rPr>
          <w:rFonts w:ascii="Times New Roman" w:cs="Times New Roman" w:eastAsia="Times New Roman" w:hAnsi="Times New Roman"/>
          <w:sz w:val="18"/>
          <w:szCs w:val="18"/>
          <w:color w:val="auto"/>
        </w:rPr>
      </w:pPr>
    </w:p>
    <w:p>
      <w:pPr>
        <w:ind w:left="660" w:right="60" w:hanging="206"/>
        <w:spacing w:after="0" w:line="27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receive severance payments due under the employment agreement, sign a general release relating to his employment (applies only in the case of termination by the Company without “cause” or by the executive for “good reason”);</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data and materials relating to the business of the Company in his possession;</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himself reasonably available to the Company to respond to periodic requests for information regarding the Company or his employment;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litigation matters or investigations as the Company deems necessary.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Risk</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60" w:lineRule="exact"/>
        <w:rPr>
          <w:sz w:val="20"/>
          <w:szCs w:val="20"/>
          <w:color w:val="auto"/>
        </w:rPr>
      </w:pPr>
    </w:p>
    <w:p>
      <w:pPr>
        <w:ind w:left="660" w:hanging="20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compensation mix between fixed (base salary) and variable (annual and long-term incentive) pay opportunities;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market data and competitive practices for elements of executive compensation;</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measures that are tied to key Company short and long-term performance metrics and are correlated to total stockholder returns;</w:t>
      </w:r>
    </w:p>
    <w:p>
      <w:pPr>
        <w:spacing w:after="0" w:line="90" w:lineRule="exact"/>
        <w:rPr>
          <w:rFonts w:ascii="Times New Roman" w:cs="Times New Roman" w:eastAsia="Times New Roman" w:hAnsi="Times New Roman"/>
          <w:sz w:val="18"/>
          <w:szCs w:val="18"/>
          <w:color w:val="auto"/>
        </w:rPr>
      </w:pPr>
    </w:p>
    <w:p>
      <w:pPr>
        <w:ind w:left="660" w:right="840" w:hanging="206"/>
        <w:spacing w:after="0" w:line="275"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alignment of annual and long-term award objectives to ensure that both types of awards encourage consistent behaviors and sustainable performance results; and</w:t>
      </w:r>
    </w:p>
    <w:p>
      <w:pPr>
        <w:spacing w:after="0" w:line="38" w:lineRule="exact"/>
        <w:rPr>
          <w:rFonts w:ascii="Times New Roman" w:cs="Times New Roman" w:eastAsia="Times New Roman" w:hAnsi="Times New Roman"/>
          <w:sz w:val="18"/>
          <w:szCs w:val="18"/>
          <w:color w:val="auto"/>
        </w:rPr>
      </w:pPr>
    </w:p>
    <w:p>
      <w:pPr>
        <w:ind w:left="660" w:right="320" w:hanging="206"/>
        <w:spacing w:after="0" w:line="275"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balanced mix of four performance measures for incentive awards (Free Cash Flow, Adjusted Operating Income, Cumulative Pre-Tax Income and Adjusted ROIC) that encourage value creation, retention and stock price appreciation.</w:t>
      </w:r>
    </w:p>
    <w:p>
      <w:pPr>
        <w:spacing w:after="0" w:line="120" w:lineRule="exact"/>
        <w:rPr>
          <w:sz w:val="20"/>
          <w:szCs w:val="20"/>
          <w:color w:val="auto"/>
        </w:rPr>
      </w:pPr>
    </w:p>
    <w:p>
      <w:pPr>
        <w:jc w:val="both"/>
        <w:ind w:right="60" w:firstLine="456"/>
        <w:spacing w:after="0" w:line="310" w:lineRule="auto"/>
        <w:rPr>
          <w:sz w:val="20"/>
          <w:szCs w:val="20"/>
          <w:color w:val="auto"/>
        </w:rPr>
      </w:pPr>
      <w:r>
        <w:rPr>
          <w:rFonts w:ascii="Times New Roman" w:cs="Times New Roman" w:eastAsia="Times New Roman" w:hAnsi="Times New Roman"/>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COMMITTEE INTERLOCKS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INSIDER PARTICIPATION</w:t>
      </w:r>
    </w:p>
    <w:p>
      <w:pPr>
        <w:spacing w:after="0" w:line="15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following persons served on our Compensation Committee during all or a portion of 2015: Ms. Ligocki and Messrs. Capo, Mallett and Runkle. No member of the Compensation Committee was, during the fiscal year ended December 31, 2015, an officer, former officer or employee of the Company or any of our subsidiaries. None of our executive officers served as a member of:</w:t>
      </w:r>
    </w:p>
    <w:p>
      <w:pPr>
        <w:spacing w:after="0" w:line="51" w:lineRule="exact"/>
        <w:rPr>
          <w:sz w:val="20"/>
          <w:szCs w:val="20"/>
          <w:color w:val="auto"/>
        </w:rPr>
      </w:pPr>
    </w:p>
    <w:p>
      <w:pPr>
        <w:ind w:left="660" w:hanging="20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another entity in which one of the executive officers of such entity served on our Compensation Committee;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another entity, one of whose executive officers served on our Compensation Committee; or</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another entity in which one of the executive officers of such entity served as a member of our Board.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240" w:top="455" w:right="3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7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13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2015.</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Report is submitted by Ms. Ligocki and Messrs. Capo, Mallett and Runkle, being all of the current members of the Compensation Committee.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Thomas P. Capo, Chairman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Kathleen A. Ligocki</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Conrad L. Mallett, Jr.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Donald L. Runkle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7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136"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108"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The Audit Committee is currently comprised of Messrs. Smith, Bott, Capo and Foster, each a non-employee director, and operates under a written charter which was last amended by our Board in October 2015. A copy of the current charter is available on our website</w:t>
      </w:r>
      <w:r>
        <w:rPr>
          <w:rFonts w:ascii="Times New Roman" w:cs="Times New Roman" w:eastAsia="Times New Roman" w:hAnsi="Times New Roman"/>
          <w:sz w:val="10"/>
          <w:szCs w:val="10"/>
          <w:color w:val="auto"/>
        </w:rPr>
        <w:t>1</w:t>
      </w:r>
      <w:r>
        <w:rPr>
          <w:rFonts w:ascii="Times New Roman" w:cs="Times New Roman" w:eastAsia="Times New Roman" w:hAnsi="Times New Roman"/>
          <w:sz w:val="16"/>
          <w:szCs w:val="16"/>
          <w:color w:val="auto"/>
        </w:rPr>
        <w:t xml:space="preserve">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4" w:lineRule="exact"/>
        <w:rPr>
          <w:sz w:val="20"/>
          <w:szCs w:val="20"/>
          <w:color w:val="auto"/>
        </w:rPr>
      </w:pPr>
    </w:p>
    <w:p>
      <w:pPr>
        <w:ind w:left="5560" w:right="2640" w:hanging="5552"/>
        <w:spacing w:after="0" w:line="394" w:lineRule="auto"/>
        <w:tabs>
          <w:tab w:leader="none" w:pos="216"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http://files.shareholder.com/downloads/LEA/2950985911x0x273910/9dd028e6-4ab9-4052-82b4-1978cd23fbb3/audit.pdf -58-</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2015, as well as the report of management, for the year ended December 31, 2015, regarding the Company’s internal control over financial reporting required by Section 404 of the Sarbanes-Oxley Act.</w:t>
      </w:r>
    </w:p>
    <w:p>
      <w:pPr>
        <w:spacing w:after="0" w:line="13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Audit Committee has retained Ernst &amp; Young LLP as the Company’s independent registered public accounting firm for 2015 and 2016.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integrity, independence, objectivity, industry and company-specific experience, quality and effectiveness of personnel and communications and commitment to serving the Company.</w:t>
      </w:r>
    </w:p>
    <w:p>
      <w:pPr>
        <w:spacing w:after="0" w:line="13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reviewed with Ernst &amp; Young LLP, its judgments as to the quality, not just the acceptability, of the Company’s accounting policies and such other matters as are required to be discussed with the Audit Committee by the Standards of the Public Company Oversight Board (United States) (PCAOB), including PCAOB Auditing Standard No. 16,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the rules of the SEC, and other applicable regulations.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 The Audit Committee has considered whether the provision of non-audit services to the Company is compatible with maintaining the independence of Ernst &amp; Young LLP.</w:t>
      </w:r>
    </w:p>
    <w:p>
      <w:pPr>
        <w:spacing w:after="0" w:line="141"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Based on the review and discussions referred to above, the Audit Committee recommended to the Board that the Company’s audited consolidated financial statements be included in the Company’s Annual Report on Form 10-K for the fiscal year ended December 31, 2015, filed with the SEC on February 9, 2016.</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Report is submitted by Messrs. Smith, Bott, Capo and Foster, being all of the members of the Audit Committee.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Gregory C. Smith, Chairman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Richard H. Bott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Thomas P. Capo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Jonathan F. Foster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FEES OF INDEPENDENT ACCOUNTANTS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to retaining Ernst &amp; Young LLP to audit our consolidated financial statements for 2015, we retained Ernst &amp;Young LLP, as well as other accounting firms, to provide tax and other advisory services in 2015.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2015 and 2014.</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14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has adopted policies regarding our ability to hire employees, former employees and certain relatives of employees of the Company’s independent registered public accounting firm.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2015 and 2014, we retained Ernst &amp; Young LLP to provide services in the following categories and amounts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8,271</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8,097</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350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1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1,542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8"/>
                <w:szCs w:val="18"/>
                <w:color w:val="auto"/>
              </w:rPr>
            </w:pPr>
          </w:p>
        </w:tc>
      </w:tr>
      <w:tr>
        <w:trPr>
          <w:trHeight w:val="228"/>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120" w:hanging="452"/>
        <w:spacing w:after="0" w:line="262"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 2015 and 2014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 2015 and 2014 include services related to the audits of employee benefit plans, agreed-upon procedures related to certain due diligence services and other risk assessment services.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services related to tax compliance, tax advice and tax planning.</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in 2014 include services for assistance with insurance claims. There were no other fees billed by Ernst &amp; Young LLP for any other services.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3"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We have established a written policy that has been broadly disseminated within the Company regarding (i) transactions with related parties and (ii) the employment of immediate family members of directors and executive officers. This policy assists us in identifying, reviewing, monitoring and, as necessary, approving transactions with related parties and also provides for the identification, monitoring and review of employment of immediate family members of directors and executive officers by our human resources department. The policy requires that any transaction, or series of transactions, with related parties in excess of $500,000, whether undertaken in or outside the ordinary course of our business, be presented to the Nominating and Corporate Governance Committee for approval. The policy further provides that all such employment decisions should be made in accordance with the Company’s policies and procedures and that directors and executive officers must not seek to improperly influence any employment decisions regarding their immediate family members.</w:t>
      </w:r>
    </w:p>
    <w:p>
      <w:pPr>
        <w:spacing w:after="0" w:line="113"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We have implemented various procedures to ensure compliance with the related party transaction policy. For example, the Company’s standard purchasing terms and conditions require vendors to advise us upon any such vendor becoming aware of certain directors, employees or stockholders of the vendor being affiliated with a director or officer (or immediate family member of either) of the Company or its subsidiaries. This requirement applies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member of his or her family living in the same household)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1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 vendors identified as related party vendors in North America are processed through a centralized payables system. At least twice per year, the list of related parties is updated by directors, members of senior management and certain other employees.</w:t>
      </w:r>
    </w:p>
    <w:p>
      <w:pPr>
        <w:spacing w:after="0" w:line="136"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Pursuant to this policy, we have adopted procedures which assist us in identifying and reviewing relationships involving the employment of immediate family members of directors and executive officers.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 list of any immediate family members of the Company’s directors or executive officers who are employed by the Company are provided annually to the Nominating and Corporate Governance Committee.</w:t>
      </w:r>
    </w:p>
    <w:p>
      <w:pPr>
        <w:spacing w:after="0" w:line="14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At least twice per year, the Chief Accounting Officer reports to the Vice President of Internal Audit on related party relationships, including those with customers, as well as the amount of business performed between the Company and each related party during the preceding six months, year-to-date and for the preceding fiscal year. At least annually, the Vice President of Internal Audit prepares an audit plan for reviewing significant transactions with related parties and reports such audit plan and the results to the Nominating and Corporate Governance Committee. The Chief Accounting Officer, General Counsel and Vice President of Internal Audit meet at least twice per year to confirm the adequate monitoring and reporting of related party transactions. The Chief Accounting Officer then reports on such monitoring and disclosure at least annually to the Nominating and Corporate Governance Committee, which in turn reports to the Board regarding its review and approval of</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related party transactions. The Nominating and Corporate Governance Committee also receives a summary of all significant transactions with related parties at least annually.</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any required Nominating and Corporate Governance Committee approval, a member of our senior management must represent to the Nominating and Corporate Governance Committee that the related party at issue has been held to the same standards as unaffiliated third parties. Nominating and Corporate Governance Committee members having (or having an immediate family member that has) a direct or indirect interest in the transaction must recuse themselves from consideration of the transaction.</w:t>
      </w:r>
    </w:p>
    <w:p>
      <w:pPr>
        <w:spacing w:after="0" w:line="13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During 2015, these procedures resulted in the review by the Nominating and Corporate Governance Committee of the employment relationship set forth below under “— Certain Transactions.”</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addition, our Code of Business Conduct and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92"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Mark Mueller, a Principal Engineer for the Company, is a brother-in-law of Raymond E. Scott, the Company’s Executive Vice President and President, Seating. In 2015, the Company paid Mr. Mueller approximately $200,000, which included bonus payments and other standard benefit arrangements. The compensation paid to Mr. Mueller was approved in accordance with the Company’s standard compensation practices for similarly situated employees.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60"/>
          </w:cols>
          <w:pgMar w:left="240" w:top="455" w:right="2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RETENTION OF INDEPENDENT REGISTERED PUBLIC ACCOUNTING FIRM</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Audit Committee has retained Ernst &amp; Young LLP as our independent registered public accounting firm for the year ending December 31, 2016.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 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1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RATIFICATION OF</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THE RETENTION OF ERNST &amp; YOUNG LLP AS OUR INDEPENDENT REGISTERED PUBLIC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ACCOUNTING FIRM FOR 2016. PROXIES SOLICITED BY THE BOARD WILL BE VOTED 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PROPOSAL UNLESS STOCKHOLDERS SPECIFY A CONTRARY VOTE.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 SET FORTH IN THIS PROXY STATEMENT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173"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Pursuant to Section 14A of the Exchange Act, we are seeking the advisory approval by stockholders of the Company’s executive compensation program and practices as disclosed in this Proxy Statement. As initially approved by stockholders at the annual meeting of stockholders in 2011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2015, our executive compensation program and practices disclosed in our 2015 Proxy Statement received a favorable vote by over 98% of shares voted.</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are being asked to vote on the following advisory resolution:</w:t>
      </w:r>
    </w:p>
    <w:p>
      <w:pPr>
        <w:spacing w:after="0" w:line="171"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Company’s executive officers, as disclosed in the 2016 Proxy Statement pursuant to the compensation disclosure rules of the Securities and Exchange Commission, including the Compensation Discussion and Analysis, the 2015 Summary Compensation Table and the other related tables and disclosures.”</w:t>
      </w:r>
    </w:p>
    <w:p>
      <w:pPr>
        <w:spacing w:after="0" w:line="13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13"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13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ADVISORY APPROVAL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 SET FORTH IN THIS PROXY STATEMENT.</w:t>
      </w:r>
    </w:p>
    <w:p>
      <w:pPr>
        <w:spacing w:after="0" w:line="157" w:lineRule="exact"/>
        <w:rPr>
          <w:sz w:val="20"/>
          <w:szCs w:val="20"/>
          <w:color w:val="auto"/>
        </w:rPr>
      </w:pPr>
    </w:p>
    <w:p>
      <w:pPr>
        <w:jc w:val="center"/>
        <w:ind w:left="260" w:right="1820"/>
        <w:spacing w:after="0" w:line="264" w:lineRule="auto"/>
        <w:rPr>
          <w:sz w:val="20"/>
          <w:szCs w:val="20"/>
          <w:color w:val="auto"/>
        </w:rPr>
      </w:pPr>
      <w:r>
        <w:rPr>
          <w:rFonts w:ascii="Times New Roman" w:cs="Times New Roman" w:eastAsia="Times New Roman" w:hAnsi="Times New Roman"/>
          <w:sz w:val="18"/>
          <w:szCs w:val="18"/>
          <w:b w:val="1"/>
          <w:bCs w:val="1"/>
          <w:color w:val="auto"/>
        </w:rPr>
        <w:t>PROXIES SOLICITED BY THE BOARD WILL BE VOTED FOR THE ADVISORY APPROVAL OF EXECUTIVE COMPENSATION SET FORTH IN THIS PROXY STATEMENT UNLESS STOCKHOLDERS SPECIFY A CONTRARY VOTE.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FOR 2017 ANNUAL MEETING OF STOCKHOLDERS</w:t>
      </w:r>
    </w:p>
    <w:p>
      <w:pPr>
        <w:spacing w:after="0" w:line="173"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Stockholders who intend to present proposals at the Company’s annual meeting of stockholders in 2017 pursuant to Rule 14a-8 under the Exchange Act must send notice of their proposal to us so that we receive it no later than December 1, 2016. Stockholders who intend to present proposals at the annual meeting of stockholders in 2016 other than pursuant to Rule 14a-8 must comply with the notice provisions in our Bylaws. The notice provisions in our Bylaws require that, for a proposal to be properly brought before the annual meeting of stockholders in 2017, proper notice of the proposal be received by us not less than 90 days nor more than 120 days prior to the first anniversary of the preceding 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February 18, 2017. Stockholder proposals should be addressed to Lear Corporation, 21557 Telegraph Road, Southfield, Michigan 48033, Attention: Terrence B. Larkin, Executive Vice President, Business Development, General Counsel and Corporate Secretary.</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118" w:lineRule="exact"/>
        <w:rPr>
          <w:sz w:val="20"/>
          <w:szCs w:val="20"/>
          <w:color w:val="auto"/>
        </w:rPr>
      </w:pPr>
    </w:p>
    <w:p>
      <w:pPr>
        <w:ind w:right="20"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Upon written request by any stockholder entitled to vote at the Annual Meeting, we will promptly furnish, without charge, a copy of the Annual Report on Form 10-K for the fiscal year ended December 31, 2015 which we filed with the SEC, including the financial statements and schedule. If the person requesting the report was not a stockholder of record on March 24, 2016, the request must contain a good faith representation that he or she was a beneficial owner of our common stock at the close of business on that date. Requests should be addressed to Lear Corporation, 21557 Telegraph Road, Southfield, Michigan 48033, Attention: Terrence B. Larkin, Executive Vice President, Business Development, General Counsel and Corporate Secretary.</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YOUR VOTE IS IMPORTANT. WE URGE YOU TO VOTE TODAY BY TELEPHONE, VIA THE INTERNET OR BY MAIL.</w:t>
      </w:r>
    </w:p>
    <w:p>
      <w:pPr>
        <w:spacing w:after="0" w:line="2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783715" cy="462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7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Terrence B. Larkin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Executive Vice President, Business Development,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General Counsel and Corporate Secretary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information presented in this proxy statement under the caption “Compensation Discussion and Analysis—Executive Summary” regarding adjusted earnings per share does not conform to generally accepted accounting principles (GAAP) and should not be construed as an alternative to the reported financial results of the Company determined in accordance with GAAP. Management believes that the non-GAAP information used in this proxy statement is useful to both management and investors in their analysis of the Company’s financial position and results of operations. The non-GAAP information provided may not be consistent with methodologies used by other companies. All non-GAAP information regarding adjusted earnings per share is reconciled with reported GAAP results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 in millions, except per share amounts)</w:t>
            </w:r>
          </w:p>
        </w:tc>
        <w:tc>
          <w:tcPr>
            <w:tcW w:w="41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r>
      <w:tr>
        <w:trPr>
          <w:trHeight w:val="203"/>
        </w:trPr>
        <w:tc>
          <w:tcPr>
            <w:tcW w:w="72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 attributable to Lear</w:t>
            </w:r>
          </w:p>
        </w:tc>
        <w:tc>
          <w:tcPr>
            <w:tcW w:w="2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745.5</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Restructuring costs and other special items -</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Costs related to restructuring actions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Acquisition and other related costs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2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Acquisition-related inventory fair value adjustment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Loss on redemption of bonds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72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related to affiliates, net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Tax impact of special items and other net tax adjustments(1)</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(149.1)</w:t>
            </w:r>
          </w:p>
        </w:tc>
      </w:tr>
      <w:tr>
        <w:trPr>
          <w:trHeight w:val="223"/>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Lear</w:t>
            </w:r>
          </w:p>
        </w:tc>
        <w:tc>
          <w:tcPr>
            <w:tcW w:w="2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843.9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diluted shares outstanding</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Lear</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8.23</w:t>
            </w:r>
          </w:p>
        </w:tc>
      </w:tr>
      <w:tr>
        <w:trPr>
          <w:trHeight w:val="20"/>
        </w:trPr>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10.85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8.15</w:t>
            </w:r>
          </w:p>
        </w:tc>
      </w:tr>
      <w:tr>
        <w:trPr>
          <w:trHeight w:val="20"/>
        </w:trPr>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220" w:hanging="452"/>
        <w:spacing w:after="0" w:line="26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restructuring costs and other special items, as well as several discrete tax items (including changes in valuation allowances in several foreign and domestic subsidiaries). The identification of these tax items is judgmental in nature, and their calculation is based on various assumptions and estimates.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242570</wp:posOffset>
            </wp:positionV>
            <wp:extent cx="2280920" cy="643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80920" cy="643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724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40" w:type="dxa"/>
            <w:vAlign w:val="bottom"/>
          </w:tcPr>
          <w:p>
            <w:pPr>
              <w:ind w:left="1820"/>
              <w:spacing w:after="0" w:line="149" w:lineRule="exact"/>
              <w:rPr>
                <w:sz w:val="20"/>
                <w:szCs w:val="20"/>
                <w:color w:val="auto"/>
              </w:rPr>
            </w:pPr>
            <w:r>
              <w:rPr>
                <w:rFonts w:ascii="Times New Roman" w:cs="Times New Roman" w:eastAsia="Times New Roman" w:hAnsi="Times New Roman"/>
                <w:sz w:val="14"/>
                <w:szCs w:val="14"/>
                <w:color w:val="auto"/>
                <w:w w:val="99"/>
              </w:rPr>
              <w:t>Use the Internet to transmit your voting instructions and for electronic delivery of information up</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40" w:type="dxa"/>
            <w:vAlign w:val="bottom"/>
          </w:tcPr>
          <w:p>
            <w:pPr>
              <w:ind w:left="1820"/>
              <w:spacing w:after="0" w:line="149" w:lineRule="exact"/>
              <w:rPr>
                <w:sz w:val="20"/>
                <w:szCs w:val="20"/>
                <w:color w:val="auto"/>
              </w:rPr>
            </w:pPr>
            <w:r>
              <w:rPr>
                <w:rFonts w:ascii="Times New Roman" w:cs="Times New Roman" w:eastAsia="Times New Roman" w:hAnsi="Times New Roman"/>
                <w:sz w:val="14"/>
                <w:szCs w:val="14"/>
                <w:color w:val="auto"/>
                <w:w w:val="97"/>
              </w:rPr>
              <w:t>until 11:59 P.M. Eastern Daylight Time on May 18, 2016. Have your proxy card in hand when you</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40" w:type="dxa"/>
            <w:vAlign w:val="bottom"/>
          </w:tcPr>
          <w:p>
            <w:pPr>
              <w:ind w:left="1820"/>
              <w:spacing w:after="0" w:line="149" w:lineRule="exact"/>
              <w:rPr>
                <w:sz w:val="20"/>
                <w:szCs w:val="20"/>
                <w:color w:val="auto"/>
              </w:rPr>
            </w:pPr>
            <w:r>
              <w:rPr>
                <w:rFonts w:ascii="Times New Roman" w:cs="Times New Roman" w:eastAsia="Times New Roman" w:hAnsi="Times New Roman"/>
                <w:sz w:val="14"/>
                <w:szCs w:val="14"/>
                <w:color w:val="auto"/>
              </w:rPr>
              <w:t>access the web site and follow the instructions to obtain your records and to create an electronic</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724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voting instruction form.</w:t>
            </w:r>
          </w:p>
        </w:tc>
        <w:tc>
          <w:tcPr>
            <w:tcW w:w="0" w:type="dxa"/>
            <w:vAlign w:val="bottom"/>
          </w:tcPr>
          <w:p>
            <w:pPr>
              <w:spacing w:after="0"/>
              <w:rPr>
                <w:sz w:val="1"/>
                <w:szCs w:val="1"/>
                <w:color w:val="auto"/>
              </w:rPr>
            </w:pPr>
          </w:p>
        </w:tc>
      </w:tr>
      <w:tr>
        <w:trPr>
          <w:trHeight w:val="227"/>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LEAR CORPORATION</w:t>
            </w:r>
          </w:p>
        </w:tc>
        <w:tc>
          <w:tcPr>
            <w:tcW w:w="724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58"/>
        </w:trPr>
        <w:tc>
          <w:tcPr>
            <w:tcW w:w="37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ATTN: INVESTOR RELATIONS</w:t>
            </w:r>
          </w:p>
        </w:tc>
        <w:tc>
          <w:tcPr>
            <w:tcW w:w="7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3700" w:type="dxa"/>
            <w:vAlign w:val="bottom"/>
            <w:vMerge w:val="continue"/>
          </w:tcPr>
          <w:p>
            <w:pPr>
              <w:spacing w:after="0"/>
              <w:rPr>
                <w:sz w:val="7"/>
                <w:szCs w:val="7"/>
                <w:color w:val="auto"/>
              </w:rPr>
            </w:pPr>
          </w:p>
        </w:tc>
        <w:tc>
          <w:tcPr>
            <w:tcW w:w="7240" w:type="dxa"/>
            <w:vAlign w:val="bottom"/>
            <w:vMerge w:val="restart"/>
          </w:tcPr>
          <w:p>
            <w:pPr>
              <w:ind w:left="1820"/>
              <w:spacing w:after="0" w:line="149" w:lineRule="exact"/>
              <w:rPr>
                <w:sz w:val="20"/>
                <w:szCs w:val="20"/>
                <w:color w:val="auto"/>
              </w:rPr>
            </w:pPr>
            <w:r>
              <w:rPr>
                <w:rFonts w:ascii="Times New Roman" w:cs="Times New Roman" w:eastAsia="Times New Roman" w:hAnsi="Times New Roman"/>
                <w:sz w:val="14"/>
                <w:szCs w:val="14"/>
                <w:color w:val="auto"/>
                <w:w w:val="97"/>
              </w:rPr>
              <w:t>If you would like to reduce the costs incurred by our company in mailing proxy materials, you can</w:t>
            </w:r>
          </w:p>
        </w:tc>
        <w:tc>
          <w:tcPr>
            <w:tcW w:w="0" w:type="dxa"/>
            <w:vAlign w:val="bottom"/>
          </w:tcPr>
          <w:p>
            <w:pPr>
              <w:spacing w:after="0"/>
              <w:rPr>
                <w:sz w:val="1"/>
                <w:szCs w:val="1"/>
                <w:color w:val="auto"/>
              </w:rPr>
            </w:pPr>
          </w:p>
        </w:tc>
      </w:tr>
      <w:tr>
        <w:trPr>
          <w:trHeight w:val="58"/>
        </w:trPr>
        <w:tc>
          <w:tcPr>
            <w:tcW w:w="37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21557 TELEGRAPH ROAD</w:t>
            </w:r>
          </w:p>
        </w:tc>
        <w:tc>
          <w:tcPr>
            <w:tcW w:w="7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3700" w:type="dxa"/>
            <w:vAlign w:val="bottom"/>
            <w:vMerge w:val="continue"/>
          </w:tcPr>
          <w:p>
            <w:pPr>
              <w:spacing w:after="0"/>
              <w:rPr>
                <w:sz w:val="7"/>
                <w:szCs w:val="7"/>
                <w:color w:val="auto"/>
              </w:rPr>
            </w:pPr>
          </w:p>
        </w:tc>
        <w:tc>
          <w:tcPr>
            <w:tcW w:w="7240" w:type="dxa"/>
            <w:vAlign w:val="bottom"/>
            <w:vMerge w:val="restart"/>
          </w:tcPr>
          <w:p>
            <w:pPr>
              <w:ind w:left="1820"/>
              <w:spacing w:after="0" w:line="149" w:lineRule="exact"/>
              <w:rPr>
                <w:sz w:val="20"/>
                <w:szCs w:val="20"/>
                <w:color w:val="auto"/>
              </w:rPr>
            </w:pPr>
            <w:r>
              <w:rPr>
                <w:rFonts w:ascii="Times New Roman" w:cs="Times New Roman" w:eastAsia="Times New Roman" w:hAnsi="Times New Roman"/>
                <w:sz w:val="14"/>
                <w:szCs w:val="14"/>
                <w:color w:val="auto"/>
                <w:w w:val="96"/>
              </w:rPr>
              <w:t>consent to receiving all future proxy statements, proxy cards and annual reports electronically via e-</w:t>
            </w:r>
          </w:p>
        </w:tc>
        <w:tc>
          <w:tcPr>
            <w:tcW w:w="0" w:type="dxa"/>
            <w:vAlign w:val="bottom"/>
          </w:tcPr>
          <w:p>
            <w:pPr>
              <w:spacing w:after="0"/>
              <w:rPr>
                <w:sz w:val="1"/>
                <w:szCs w:val="1"/>
                <w:color w:val="auto"/>
              </w:rPr>
            </w:pPr>
          </w:p>
        </w:tc>
      </w:tr>
      <w:tr>
        <w:trPr>
          <w:trHeight w:val="5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SOUTHFIELD, MI 48033</w:t>
            </w:r>
          </w:p>
        </w:tc>
        <w:tc>
          <w:tcPr>
            <w:tcW w:w="7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700" w:type="dxa"/>
            <w:vAlign w:val="bottom"/>
            <w:vMerge w:val="continue"/>
          </w:tcPr>
          <w:p>
            <w:pPr>
              <w:spacing w:after="0"/>
              <w:rPr>
                <w:sz w:val="10"/>
                <w:szCs w:val="10"/>
                <w:color w:val="auto"/>
              </w:rPr>
            </w:pPr>
          </w:p>
        </w:tc>
        <w:tc>
          <w:tcPr>
            <w:tcW w:w="7240" w:type="dxa"/>
            <w:vAlign w:val="bottom"/>
            <w:vMerge w:val="restart"/>
          </w:tcPr>
          <w:p>
            <w:pPr>
              <w:ind w:left="1820"/>
              <w:spacing w:after="0" w:line="149" w:lineRule="exact"/>
              <w:rPr>
                <w:sz w:val="20"/>
                <w:szCs w:val="20"/>
                <w:color w:val="auto"/>
              </w:rPr>
            </w:pPr>
            <w:r>
              <w:rPr>
                <w:rFonts w:ascii="Times New Roman" w:cs="Times New Roman" w:eastAsia="Times New Roman" w:hAnsi="Times New Roman"/>
                <w:sz w:val="14"/>
                <w:szCs w:val="14"/>
                <w:color w:val="auto"/>
                <w:w w:val="97"/>
              </w:rPr>
              <w:t>mail or the Internet. To sign up for electronic delivery, please follow the instructions above to vote</w:t>
            </w:r>
          </w:p>
        </w:tc>
        <w:tc>
          <w:tcPr>
            <w:tcW w:w="0" w:type="dxa"/>
            <w:vAlign w:val="bottom"/>
          </w:tcPr>
          <w:p>
            <w:pPr>
              <w:spacing w:after="0"/>
              <w:rPr>
                <w:sz w:val="1"/>
                <w:szCs w:val="1"/>
                <w:color w:val="auto"/>
              </w:rPr>
            </w:pPr>
          </w:p>
        </w:tc>
      </w:tr>
      <w:tr>
        <w:trPr>
          <w:trHeight w:val="28"/>
        </w:trPr>
        <w:tc>
          <w:tcPr>
            <w:tcW w:w="3700" w:type="dxa"/>
            <w:vAlign w:val="bottom"/>
          </w:tcPr>
          <w:p>
            <w:pPr>
              <w:spacing w:after="0"/>
              <w:rPr>
                <w:sz w:val="2"/>
                <w:szCs w:val="2"/>
                <w:color w:val="auto"/>
              </w:rPr>
            </w:pPr>
          </w:p>
        </w:tc>
        <w:tc>
          <w:tcPr>
            <w:tcW w:w="7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00" w:type="dxa"/>
            <w:vAlign w:val="bottom"/>
          </w:tcPr>
          <w:p>
            <w:pPr>
              <w:spacing w:after="0"/>
              <w:rPr>
                <w:sz w:val="12"/>
                <w:szCs w:val="12"/>
                <w:color w:val="auto"/>
              </w:rPr>
            </w:pPr>
          </w:p>
        </w:tc>
        <w:tc>
          <w:tcPr>
            <w:tcW w:w="7240" w:type="dxa"/>
            <w:vAlign w:val="bottom"/>
          </w:tcPr>
          <w:p>
            <w:pPr>
              <w:ind w:left="1820"/>
              <w:spacing w:after="0" w:line="149" w:lineRule="exact"/>
              <w:rPr>
                <w:sz w:val="20"/>
                <w:szCs w:val="20"/>
                <w:color w:val="auto"/>
              </w:rPr>
            </w:pPr>
            <w:r>
              <w:rPr>
                <w:rFonts w:ascii="Times New Roman" w:cs="Times New Roman" w:eastAsia="Times New Roman" w:hAnsi="Times New Roman"/>
                <w:sz w:val="14"/>
                <w:szCs w:val="14"/>
                <w:color w:val="auto"/>
                <w:w w:val="97"/>
              </w:rPr>
              <w:t>using the Internet and, when prompted, indicate that you agree to receive or access proxy materials</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724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electronically in future years.</w:t>
            </w:r>
          </w:p>
        </w:tc>
        <w:tc>
          <w:tcPr>
            <w:tcW w:w="0" w:type="dxa"/>
            <w:vAlign w:val="bottom"/>
          </w:tcPr>
          <w:p>
            <w:pPr>
              <w:spacing w:after="0"/>
              <w:rPr>
                <w:sz w:val="1"/>
                <w:szCs w:val="1"/>
                <w:color w:val="auto"/>
              </w:rPr>
            </w:pPr>
          </w:p>
        </w:tc>
      </w:tr>
      <w:tr>
        <w:trPr>
          <w:trHeight w:val="285"/>
        </w:trPr>
        <w:tc>
          <w:tcPr>
            <w:tcW w:w="3700" w:type="dxa"/>
            <w:vAlign w:val="bottom"/>
          </w:tcPr>
          <w:p>
            <w:pPr>
              <w:spacing w:after="0"/>
              <w:rPr>
                <w:sz w:val="24"/>
                <w:szCs w:val="24"/>
                <w:color w:val="auto"/>
              </w:rPr>
            </w:pPr>
          </w:p>
        </w:tc>
        <w:tc>
          <w:tcPr>
            <w:tcW w:w="724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40" w:type="dxa"/>
            <w:vAlign w:val="bottom"/>
          </w:tcPr>
          <w:p>
            <w:pPr>
              <w:ind w:left="1820"/>
              <w:spacing w:after="0" w:line="149" w:lineRule="exact"/>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40" w:type="dxa"/>
            <w:vAlign w:val="bottom"/>
          </w:tcPr>
          <w:p>
            <w:pPr>
              <w:ind w:left="1820"/>
              <w:spacing w:after="0" w:line="149" w:lineRule="exact"/>
              <w:rPr>
                <w:sz w:val="20"/>
                <w:szCs w:val="20"/>
                <w:color w:val="auto"/>
              </w:rPr>
            </w:pPr>
            <w:r>
              <w:rPr>
                <w:rFonts w:ascii="Times New Roman" w:cs="Times New Roman" w:eastAsia="Times New Roman" w:hAnsi="Times New Roman"/>
                <w:sz w:val="14"/>
                <w:szCs w:val="14"/>
                <w:color w:val="auto"/>
                <w:w w:val="98"/>
              </w:rPr>
              <w:t>Daylight Time on May 18, 2016. Have your proxy card in hand when you call and then follow the</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724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instructions.</w:t>
            </w:r>
          </w:p>
        </w:tc>
        <w:tc>
          <w:tcPr>
            <w:tcW w:w="0" w:type="dxa"/>
            <w:vAlign w:val="bottom"/>
          </w:tcPr>
          <w:p>
            <w:pPr>
              <w:spacing w:after="0"/>
              <w:rPr>
                <w:sz w:val="1"/>
                <w:szCs w:val="1"/>
                <w:color w:val="auto"/>
              </w:rPr>
            </w:pPr>
          </w:p>
        </w:tc>
      </w:tr>
      <w:tr>
        <w:trPr>
          <w:trHeight w:val="285"/>
        </w:trPr>
        <w:tc>
          <w:tcPr>
            <w:tcW w:w="3700" w:type="dxa"/>
            <w:vAlign w:val="bottom"/>
          </w:tcPr>
          <w:p>
            <w:pPr>
              <w:spacing w:after="0"/>
              <w:rPr>
                <w:sz w:val="24"/>
                <w:szCs w:val="24"/>
                <w:color w:val="auto"/>
              </w:rPr>
            </w:pPr>
          </w:p>
        </w:tc>
        <w:tc>
          <w:tcPr>
            <w:tcW w:w="724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40" w:type="dxa"/>
            <w:vAlign w:val="bottom"/>
          </w:tcPr>
          <w:p>
            <w:pPr>
              <w:ind w:left="1820"/>
              <w:spacing w:after="0" w:line="149" w:lineRule="exact"/>
              <w:rPr>
                <w:sz w:val="20"/>
                <w:szCs w:val="20"/>
                <w:color w:val="auto"/>
              </w:rPr>
            </w:pPr>
            <w:r>
              <w:rPr>
                <w:rFonts w:ascii="Times New Roman" w:cs="Times New Roman" w:eastAsia="Times New Roman" w:hAnsi="Times New Roman"/>
                <w:sz w:val="14"/>
                <w:szCs w:val="14"/>
                <w:color w:val="auto"/>
                <w:w w:val="96"/>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724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return it to Vote 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jc w:val="right"/>
        <w:spacing w:after="0" w:line="223" w:lineRule="auto"/>
        <w:rPr>
          <w:sz w:val="20"/>
          <w:szCs w:val="20"/>
          <w:color w:val="auto"/>
        </w:rPr>
      </w:pPr>
      <w:r>
        <w:rPr>
          <w:rFonts w:ascii="Times New Roman" w:cs="Times New Roman" w:eastAsia="Times New Roman" w:hAnsi="Times New Roman"/>
          <w:sz w:val="14"/>
          <w:szCs w:val="14"/>
          <w:color w:val="auto"/>
        </w:rPr>
        <w:t>KEEP THIS PORTION FOR YOUR RECORDS</w:t>
      </w:r>
    </w:p>
    <w:p>
      <w:pPr>
        <w:spacing w:after="0" w:line="222" w:lineRule="auto"/>
        <w:rPr>
          <w:sz w:val="20"/>
          <w:szCs w:val="20"/>
          <w:color w:val="auto"/>
        </w:rPr>
      </w:pPr>
      <w:r>
        <w:rPr>
          <w:rFonts w:ascii="Times New Roman" w:cs="Times New Roman" w:eastAsia="Times New Roman" w:hAnsi="Times New Roman"/>
          <w:sz w:val="14"/>
          <w:szCs w:val="14"/>
          <w:color w:val="auto"/>
        </w:rPr>
        <w:t>— — — — — — — — — — — — — — — — — — — — — — — — — — — — — — — — — — — — — — — — — — — — — — — — — — — — — — — — —</w:t>
      </w:r>
    </w:p>
    <w:p>
      <w:pPr>
        <w:jc w:val="right"/>
        <w:spacing w:after="0" w:line="221" w:lineRule="auto"/>
        <w:rPr>
          <w:sz w:val="20"/>
          <w:szCs w:val="20"/>
          <w:color w:val="auto"/>
        </w:rPr>
      </w:pPr>
      <w:r>
        <w:rPr>
          <w:rFonts w:ascii="Times New Roman" w:cs="Times New Roman" w:eastAsia="Times New Roman" w:hAnsi="Times New Roman"/>
          <w:sz w:val="14"/>
          <w:szCs w:val="14"/>
          <w:color w:val="auto"/>
        </w:rPr>
        <w:t>DETACH AND RETURN THIS PORTION ONLY</w:t>
      </w:r>
    </w:p>
    <w:p>
      <w:pPr>
        <w:jc w:val="cente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276465" cy="4025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4025900"/>
                    </a:xfrm>
                    <a:prstGeom prst="rect">
                      <a:avLst/>
                    </a:prstGeom>
                    <a:noFill/>
                  </pic:spPr>
                </pic:pic>
              </a:graphicData>
            </a:graphic>
          </wp:anchor>
        </w:drawing>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w:t>
      </w:r>
    </w:p>
    <w:p>
      <w:pPr>
        <w:sectPr>
          <w:pgSz w:w="11900" w:h="16838" w:orient="portrait"/>
          <w:cols w:equalWidth="0" w:num="1">
            <w:col w:w="11420"/>
          </w:cols>
          <w:pgMar w:left="240" w:top="455" w:right="239" w:bottom="1440" w:gutter="0" w:footer="0" w:header="0"/>
        </w:sectPr>
      </w:pPr>
    </w:p>
    <w:p>
      <w:pPr>
        <w:spacing w:after="0" w:line="397" w:lineRule="exact"/>
        <w:rPr>
          <w:sz w:val="20"/>
          <w:szCs w:val="20"/>
          <w:color w:val="auto"/>
        </w:rPr>
      </w:pPr>
    </w:p>
    <w:p>
      <w:pPr>
        <w:ind w:left="560" w:hanging="269"/>
        <w:spacing w:after="0"/>
        <w:tabs>
          <w:tab w:leader="none" w:pos="56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Election of Directors</w:t>
      </w:r>
    </w:p>
    <w:p>
      <w:pPr>
        <w:spacing w:after="0" w:line="92"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180" w:type="dxa"/>
            <w:vAlign w:val="bottom"/>
          </w:tcPr>
          <w:p>
            <w:pPr>
              <w:spacing w:after="0"/>
              <w:rPr>
                <w:sz w:val="15"/>
                <w:szCs w:val="15"/>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860" w:type="dxa"/>
            <w:vAlign w:val="bottom"/>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For</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329"/>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1a</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Richard H. Bott</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1b</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Thomas P. Capo</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1c</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Jonathan F. Foster</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1d</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Mary Lou Jepsen</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1e</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Kathleen A. Ligocki</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1f  Conrad L. Mallett, Jr.</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1g</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Donald L. Runkle</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1h</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Matthew J. Simoncini</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0"/>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address change/comments, mark here.</w:t>
            </w:r>
          </w:p>
        </w:tc>
        <w:tc>
          <w:tcPr>
            <w:tcW w:w="860" w:type="dxa"/>
            <w:vAlign w:val="bottom"/>
            <w:vMerge w:val="restart"/>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No</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(see reverse for instructions)</w:t>
            </w:r>
          </w:p>
        </w:tc>
        <w:tc>
          <w:tcPr>
            <w:tcW w:w="8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Please indicate if you plan to attend this meeting</w:t>
            </w:r>
          </w:p>
        </w:tc>
        <w:tc>
          <w:tcPr>
            <w:tcW w:w="860" w:type="dxa"/>
            <w:vAlign w:val="bottom"/>
          </w:tcPr>
          <w:p>
            <w:pPr>
              <w:jc w:val="center"/>
              <w:ind w:left="35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1i</w:t>
        <w:tab/>
        <w:t>Gregory C. Smith</w:t>
      </w:r>
    </w:p>
    <w:p>
      <w:pPr>
        <w:spacing w:after="0" w:line="1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1j</w:t>
        <w:tab/>
        <w:t>Henry D. G. Wallace</w:t>
      </w:r>
    </w:p>
    <w:p>
      <w:pPr>
        <w:spacing w:after="0" w:line="132" w:lineRule="exact"/>
        <w:rPr>
          <w:sz w:val="20"/>
          <w:szCs w:val="20"/>
          <w:color w:val="auto"/>
        </w:rPr>
      </w:pPr>
    </w:p>
    <w:p>
      <w:pPr>
        <w:ind w:right="880"/>
        <w:spacing w:after="0" w:line="247" w:lineRule="auto"/>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proposals 2. and 3.</w:t>
      </w:r>
    </w:p>
    <w:p>
      <w:pPr>
        <w:spacing w:after="0" w:line="78" w:lineRule="exact"/>
        <w:rPr>
          <w:sz w:val="20"/>
          <w:szCs w:val="20"/>
          <w:color w:val="auto"/>
        </w:rPr>
      </w:pPr>
    </w:p>
    <w:p>
      <w:pPr>
        <w:ind w:left="320" w:right="480" w:hanging="312"/>
        <w:spacing w:after="0" w:line="321" w:lineRule="auto"/>
        <w:tabs>
          <w:tab w:leader="none" w:pos="320"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Ratification of the retention of Ernst &amp; Young LLP as independent registered public accounting firm for 2016.</w:t>
      </w:r>
    </w:p>
    <w:p>
      <w:pPr>
        <w:spacing w:after="0" w:line="36" w:lineRule="exact"/>
        <w:rPr>
          <w:rFonts w:ascii="Times New Roman" w:cs="Times New Roman" w:eastAsia="Times New Roman" w:hAnsi="Times New Roman"/>
          <w:sz w:val="12"/>
          <w:szCs w:val="12"/>
          <w:b w:val="1"/>
          <w:bCs w:val="1"/>
          <w:color w:val="auto"/>
        </w:rPr>
      </w:pPr>
    </w:p>
    <w:p>
      <w:pPr>
        <w:ind w:left="320" w:right="520" w:hanging="312"/>
        <w:spacing w:after="0" w:line="241" w:lineRule="auto"/>
        <w:tabs>
          <w:tab w:leader="none" w:pos="32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Advisory vote to approve Lear Corporation’s executive compensation.</w:t>
      </w:r>
    </w:p>
    <w:p>
      <w:pPr>
        <w:spacing w:after="0" w:line="7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 meeting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b w:val="1"/>
          <w:bCs w:val="1"/>
          <w:color w:val="auto"/>
        </w:rPr>
        <w:t>For</w:t>
        <w:tab/>
        <w:t>Against  Abstain</w:t>
      </w:r>
    </w:p>
    <w:p>
      <w:pPr>
        <w:spacing w:after="0" w:line="72" w:lineRule="exact"/>
        <w:rPr>
          <w:sz w:val="20"/>
          <w:szCs w:val="20"/>
          <w:color w:val="auto"/>
        </w:rPr>
      </w:pPr>
    </w:p>
    <w:p>
      <w:pPr>
        <w:ind w:left="20"/>
        <w:spacing w:after="0" w:line="181" w:lineRule="exact"/>
        <w:tabs>
          <w:tab w:leader="none" w:pos="52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44" w:lineRule="exact"/>
        <w:rPr>
          <w:sz w:val="20"/>
          <w:szCs w:val="20"/>
          <w:color w:val="auto"/>
        </w:rPr>
      </w:pPr>
    </w:p>
    <w:p>
      <w:pPr>
        <w:ind w:left="20"/>
        <w:spacing w:after="0" w:line="181" w:lineRule="exact"/>
        <w:tabs>
          <w:tab w:leader="none" w:pos="52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35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b w:val="1"/>
          <w:bCs w:val="1"/>
          <w:color w:val="auto"/>
        </w:rPr>
        <w:t>For</w:t>
        <w:tab/>
        <w:t>Against  Abstain</w:t>
      </w:r>
    </w:p>
    <w:p>
      <w:pPr>
        <w:spacing w:after="0" w:line="72" w:lineRule="exact"/>
        <w:rPr>
          <w:sz w:val="20"/>
          <w:szCs w:val="20"/>
          <w:color w:val="auto"/>
        </w:rPr>
      </w:pPr>
    </w:p>
    <w:p>
      <w:pPr>
        <w:ind w:left="20"/>
        <w:spacing w:after="0" w:line="181" w:lineRule="exact"/>
        <w:tabs>
          <w:tab w:leader="none" w:pos="52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25" w:lineRule="exact"/>
        <w:rPr>
          <w:sz w:val="20"/>
          <w:szCs w:val="20"/>
          <w:color w:val="auto"/>
        </w:rPr>
      </w:pPr>
    </w:p>
    <w:p>
      <w:pPr>
        <w:ind w:left="20"/>
        <w:spacing w:after="0" w:line="181" w:lineRule="exact"/>
        <w:tabs>
          <w:tab w:leader="none" w:pos="52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658" w:lineRule="exact"/>
        <w:rPr>
          <w:sz w:val="20"/>
          <w:szCs w:val="20"/>
          <w:color w:val="auto"/>
        </w:rPr>
      </w:pPr>
    </w:p>
    <w:p>
      <w:pPr>
        <w:sectPr>
          <w:pgSz w:w="11900" w:h="16838" w:orient="portrait"/>
          <w:cols w:equalWidth="0" w:num="3">
            <w:col w:w="5480" w:space="380"/>
            <w:col w:w="3820" w:space="220"/>
            <w:col w:w="1520"/>
          </w:cols>
          <w:pgMar w:left="240" w:top="455" w:right="239" w:bottom="1440" w:gutter="0" w:footer="0" w:header="0"/>
          <w:type w:val="continuous"/>
        </w:sectPr>
      </w:pPr>
    </w:p>
    <w:p>
      <w:pPr>
        <w:spacing w:after="0" w:line="269" w:lineRule="exact"/>
        <w:rPr>
          <w:sz w:val="20"/>
          <w:szCs w:val="20"/>
          <w:color w:val="auto"/>
        </w:rPr>
      </w:pPr>
    </w:p>
    <w:p>
      <w:pPr>
        <w:ind w:left="280" w:right="4500"/>
        <w:spacing w:after="0" w:line="234"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15" w:lineRule="exact"/>
        <w:rPr>
          <w:sz w:val="20"/>
          <w:szCs w:val="20"/>
          <w:color w:val="auto"/>
        </w:rPr>
      </w:pPr>
    </w:p>
    <w:p>
      <w:pPr>
        <w:ind w:left="360"/>
        <w:spacing w:after="0"/>
        <w:tabs>
          <w:tab w:leader="none" w:pos="3440" w:val="left"/>
          <w:tab w:leader="none" w:pos="5840" w:val="left"/>
          <w:tab w:leader="none" w:pos="93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2"/>
          <w:szCs w:val="12"/>
          <w:color w:val="auto"/>
        </w:rPr>
        <w:t>Date</w:t>
      </w:r>
    </w:p>
    <w:p>
      <w:pPr>
        <w:spacing w:after="0" w:line="3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color w:val="auto"/>
        </w:rPr>
        <w:t>0000274538_1</w:t>
      </w:r>
      <w:r>
        <w:rPr>
          <w:sz w:val="20"/>
          <w:szCs w:val="20"/>
          <w:color w:val="auto"/>
        </w:rPr>
        <w:tab/>
      </w:r>
      <w:r>
        <w:rPr>
          <w:rFonts w:ascii="Times New Roman" w:cs="Times New Roman" w:eastAsia="Times New Roman" w:hAnsi="Times New Roman"/>
          <w:sz w:val="12"/>
          <w:szCs w:val="12"/>
          <w:color w:val="auto"/>
        </w:rPr>
        <w:t>R1.0.1.25</w:t>
      </w:r>
    </w:p>
    <w:p>
      <w:pPr>
        <w:sectPr>
          <w:pgSz w:w="11900" w:h="16838" w:orient="portrait"/>
          <w:cols w:equalWidth="0" w:num="1">
            <w:col w:w="11420"/>
          </w:cols>
          <w:pgMar w:left="240" w:top="455" w:right="2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Notice &amp; Lear Proxy Statement, Lear Annual Report is/are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at </w:t>
      </w:r>
      <w:r>
        <w:rPr>
          <w:rFonts w:ascii="Times New Roman" w:cs="Times New Roman" w:eastAsia="Times New Roman" w:hAnsi="Times New Roman"/>
          <w:sz w:val="18"/>
          <w:szCs w:val="18"/>
          <w:u w:val="single" w:color="auto"/>
          <w:color w:val="auto"/>
        </w:rPr>
        <w:t>www.proxyvote.com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54875" cy="3593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3593465"/>
                    </a:xfrm>
                    <a:prstGeom prst="rect">
                      <a:avLst/>
                    </a:prstGeom>
                    <a:noFill/>
                  </pic:spPr>
                </pic:pic>
              </a:graphicData>
            </a:graphic>
          </wp:anchor>
        </w:drawing>
      </w:r>
    </w:p>
    <w:p>
      <w:pPr>
        <w:spacing w:after="0" w:line="264"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LEAR CORPORATION</w:t>
      </w:r>
    </w:p>
    <w:p>
      <w:pPr>
        <w:spacing w:after="0" w:line="23"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 Lear</w:t>
      </w:r>
    </w:p>
    <w:p>
      <w:pPr>
        <w:spacing w:after="0" w:line="9"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Corporation for the Annual Meeting of Stockholders on</w:t>
      </w:r>
    </w:p>
    <w:p>
      <w:pPr>
        <w:spacing w:after="0" w:line="9"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May 19, 2016, at 9:00 a.m. (Eastern Daylight Time).</w:t>
      </w:r>
    </w:p>
    <w:p>
      <w:pPr>
        <w:spacing w:after="0" w:line="118" w:lineRule="exact"/>
        <w:rPr>
          <w:sz w:val="20"/>
          <w:szCs w:val="20"/>
          <w:color w:val="auto"/>
        </w:rPr>
      </w:pPr>
    </w:p>
    <w:p>
      <w:pPr>
        <w:ind w:left="540" w:right="480"/>
        <w:spacing w:after="0" w:line="275" w:lineRule="auto"/>
        <w:rPr>
          <w:sz w:val="20"/>
          <w:szCs w:val="20"/>
          <w:color w:val="auto"/>
        </w:rPr>
      </w:pPr>
      <w:r>
        <w:rPr>
          <w:rFonts w:ascii="Times New Roman" w:cs="Times New Roman" w:eastAsia="Times New Roman" w:hAnsi="Times New Roman"/>
          <w:sz w:val="18"/>
          <w:szCs w:val="18"/>
          <w:color w:val="auto"/>
        </w:rPr>
        <w:t>This proxy is solicited on behalf of the Board of Directors of Lear Corporation for the Annual Meeting of Stockholders on May 19, 2016 or any adjournment or postponement thereof (the “Meeting”).</w:t>
      </w:r>
    </w:p>
    <w:p>
      <w:pPr>
        <w:spacing w:after="0" w:line="160"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The undersigned appoints Matthew J. Simoncini and Terrence B. Larkin, and each of them, with full power of substitution in each of them, the proxies of the undersigned, and authorizes them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75" w:lineRule="exact"/>
        <w:rPr>
          <w:sz w:val="20"/>
          <w:szCs w:val="20"/>
          <w:color w:val="auto"/>
        </w:rPr>
      </w:pPr>
    </w:p>
    <w:p>
      <w:pPr>
        <w:ind w:left="540" w:right="100"/>
        <w:spacing w:after="0" w:line="277"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stockholder. If no direction is given, this proxy will be voted FOR all nominees for director and FOR proposals 2 and 3.</w:t>
      </w:r>
    </w:p>
    <w:p>
      <w:pPr>
        <w:spacing w:after="0" w:line="1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Address change /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color w:val="auto"/>
        </w:rPr>
        <w:t>(If you noted any Address Changes and/or Comments above, please mark corresponding box on the reverse side.)</w:t>
      </w:r>
    </w:p>
    <w:p>
      <w:pPr>
        <w:spacing w:after="0" w:line="21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0" w:lineRule="exact"/>
        <w:rPr>
          <w:sz w:val="20"/>
          <w:szCs w:val="20"/>
          <w:color w:val="auto"/>
        </w:rPr>
      </w:pPr>
    </w:p>
    <w:p>
      <w:pPr>
        <w:spacing w:after="0" w:line="35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0000274538_2</w:t>
      </w:r>
      <w:r>
        <w:rPr>
          <w:sz w:val="20"/>
          <w:szCs w:val="20"/>
          <w:color w:val="auto"/>
        </w:rPr>
        <w:tab/>
      </w:r>
      <w:r>
        <w:rPr>
          <w:rFonts w:ascii="Times New Roman" w:cs="Times New Roman" w:eastAsia="Times New Roman" w:hAnsi="Times New Roman"/>
          <w:sz w:val="16"/>
          <w:szCs w:val="16"/>
          <w:color w:val="auto"/>
        </w:rPr>
        <w:t>R1.0.1.25</w:t>
      </w:r>
    </w:p>
    <w:sectPr>
      <w:pgSz w:w="11900" w:h="16838" w:orient="portrait"/>
      <w:cols w:equalWidth="0" w:num="1">
        <w:col w:w="11140"/>
      </w:cols>
      <w:pgMar w:left="240" w:top="45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lvl w:ilvl="1">
      <w:lvlJc w:val="left"/>
      <w:lvlText w:val="(%2)"/>
      <w:numFmt w:val="decimal"/>
      <w:start w:val="1"/>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Roman"/>
      <w:start w:val="3"/>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2"/>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lvl w:ilvl="1">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lowerRoman"/>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2"/>
    </w:lvl>
  </w:abstractNum>
  <w:abstractNum w:abstractNumId="37">
    <w:nsid w:val="7644A45C"/>
    <w:multiLevelType w:val="hybridMultilevel"/>
    <w:lvl w:ilvl="0">
      <w:lvlJc w:val="left"/>
      <w:lvlText w:val="(%1)"/>
      <w:numFmt w:val="decimal"/>
      <w:start w:val="4"/>
    </w:lvl>
    <w:lvl w:ilvl="1">
      <w:lvlJc w:val="left"/>
      <w:lvlText w:val="•"/>
      <w:numFmt w:val="bullet"/>
      <w:start w:val="1"/>
    </w:lvl>
  </w:abstractNum>
  <w:abstractNum w:abstractNumId="38">
    <w:nsid w:val="32FFF902"/>
    <w:multiLevelType w:val="hybridMultilevel"/>
    <w:lvl w:ilvl="0">
      <w:lvlJc w:val="left"/>
      <w:lvlText w:val="(%1)"/>
      <w:numFmt w:val="decimal"/>
      <w:start w:val="4"/>
    </w:lvl>
    <w:lvl w:ilvl="1">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2"/>
    </w:lvl>
  </w:abstractNum>
  <w:abstractNum w:abstractNumId="42">
    <w:nsid w:val="3DC240FB"/>
    <w:multiLevelType w:val="hybridMultilevel"/>
    <w:lvl w:ilvl="0">
      <w:lvlJc w:val="left"/>
      <w:lvlText w:val="(%1)"/>
      <w:numFmt w:val="decimal"/>
      <w:start w:val="3"/>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2"/>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lowerRoman"/>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bullet"/>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2019-12-05T22:52:25Z</dcterms:created>
  <dcterms:modified xsi:type="dcterms:W3CDTF">2019-12-05T22:52:25Z</dcterms:modified>
</cp:coreProperties>
</file>